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5A04B" w14:textId="03FAB223" w:rsidR="001B5C65" w:rsidRDefault="00233C0F" w:rsidP="009A1BAE">
      <w:pPr>
        <w:pStyle w:val="Heading1"/>
      </w:pPr>
      <w:r w:rsidRPr="009A1BAE">
        <w:t>New</w:t>
      </w:r>
      <w:r w:rsidR="009A1BAE">
        <w:t xml:space="preserve"> </w:t>
      </w:r>
      <w:r w:rsidRPr="009A1BAE">
        <w:t>Jersey</w:t>
      </w:r>
      <w:r w:rsidR="009A1BAE">
        <w:t xml:space="preserve"> </w:t>
      </w:r>
      <w:r w:rsidR="007F5DAC" w:rsidRPr="009A1BAE">
        <w:t>Summer</w:t>
      </w:r>
      <w:r w:rsidR="009A1BAE">
        <w:t xml:space="preserve"> </w:t>
      </w:r>
      <w:r w:rsidR="007F5DAC" w:rsidRPr="009A1BAE">
        <w:t>Learning</w:t>
      </w:r>
      <w:r w:rsidR="009A1BAE">
        <w:t xml:space="preserve"> </w:t>
      </w:r>
      <w:r w:rsidR="002D4E38" w:rsidRPr="009A1BAE">
        <w:t>Curriculum</w:t>
      </w:r>
      <w:r w:rsidR="009A1BAE">
        <w:t xml:space="preserve"> </w:t>
      </w:r>
      <w:r w:rsidR="007F5DAC" w:rsidRPr="009A1BAE">
        <w:t>Checklist</w:t>
      </w:r>
    </w:p>
    <w:p w14:paraId="43908C9B" w14:textId="0FE75F4F" w:rsidR="009A1BAE" w:rsidRPr="009A1BAE" w:rsidRDefault="009A1BAE" w:rsidP="009A1BAE">
      <w:pPr>
        <w:jc w:val="center"/>
        <w:rPr>
          <w:sz w:val="24"/>
          <w:szCs w:val="24"/>
        </w:rPr>
      </w:pPr>
      <w:r w:rsidRPr="009A1BAE">
        <w:rPr>
          <w:sz w:val="24"/>
          <w:szCs w:val="24"/>
        </w:rPr>
        <w:t>Updated April 2022</w:t>
      </w:r>
    </w:p>
    <w:p w14:paraId="03C5D534" w14:textId="094163C4" w:rsidR="005D542B" w:rsidRDefault="00145484" w:rsidP="004423F9">
      <w:pPr>
        <w:shd w:val="clear" w:color="auto" w:fill="FFFFFF"/>
        <w:spacing w:after="120" w:line="240" w:lineRule="auto"/>
        <w:jc w:val="center"/>
        <w:textAlignment w:val="baseline"/>
        <w:rPr>
          <w:rFonts w:ascii="Calibri" w:eastAsia="Times New Roman" w:hAnsi="Calibri" w:cs="Calibri"/>
          <w:color w:val="000000"/>
        </w:rPr>
      </w:pPr>
      <w:r w:rsidRPr="009A1BAE">
        <w:rPr>
          <w:rFonts w:ascii="Calibri" w:eastAsia="Times New Roman" w:hAnsi="Calibri" w:cs="Calibri"/>
          <w:color w:val="000000"/>
        </w:rPr>
        <w:t>Ad</w:t>
      </w:r>
      <w:r w:rsidR="00CB57B3" w:rsidRPr="009A1BAE">
        <w:rPr>
          <w:rFonts w:ascii="Calibri" w:eastAsia="Times New Roman" w:hAnsi="Calibri" w:cs="Calibri"/>
          <w:color w:val="000000"/>
        </w:rPr>
        <w:t>a</w:t>
      </w:r>
      <w:r w:rsidRPr="009A1BAE">
        <w:rPr>
          <w:rFonts w:ascii="Calibri" w:eastAsia="Times New Roman" w:hAnsi="Calibri" w:cs="Calibri"/>
          <w:color w:val="000000"/>
        </w:rPr>
        <w:t>pted</w:t>
      </w:r>
      <w:r w:rsidR="009A1BAE" w:rsidRPr="009A1BAE">
        <w:rPr>
          <w:rFonts w:ascii="Calibri" w:eastAsia="Times New Roman" w:hAnsi="Calibri" w:cs="Calibri"/>
          <w:color w:val="000000"/>
        </w:rPr>
        <w:t xml:space="preserve"> </w:t>
      </w:r>
      <w:r w:rsidRPr="009A1BAE">
        <w:rPr>
          <w:rFonts w:ascii="Calibri" w:eastAsia="Times New Roman" w:hAnsi="Calibri" w:cs="Calibri"/>
          <w:color w:val="000000"/>
        </w:rPr>
        <w:t>from:</w:t>
      </w:r>
      <w:r w:rsidR="009A1BAE" w:rsidRPr="009A1BAE">
        <w:rPr>
          <w:rFonts w:ascii="Calibri" w:eastAsia="Times New Roman" w:hAnsi="Calibri" w:cs="Calibri"/>
          <w:color w:val="000000"/>
        </w:rPr>
        <w:t xml:space="preserve"> </w:t>
      </w:r>
      <w:r w:rsidRPr="009A1BAE">
        <w:rPr>
          <w:rFonts w:ascii="Calibri" w:eastAsia="Times New Roman" w:hAnsi="Calibri" w:cs="Calibri"/>
          <w:i/>
          <w:iCs/>
          <w:color w:val="000000"/>
        </w:rPr>
        <w:t>Summer</w:t>
      </w:r>
      <w:r w:rsidR="009A1BAE" w:rsidRPr="009A1BAE">
        <w:rPr>
          <w:rFonts w:ascii="Calibri" w:eastAsia="Times New Roman" w:hAnsi="Calibri" w:cs="Calibri"/>
          <w:i/>
          <w:iCs/>
          <w:color w:val="000000"/>
        </w:rPr>
        <w:t xml:space="preserve"> </w:t>
      </w:r>
      <w:r w:rsidRPr="009A1BAE">
        <w:rPr>
          <w:rFonts w:ascii="Calibri" w:eastAsia="Times New Roman" w:hAnsi="Calibri" w:cs="Calibri"/>
          <w:i/>
          <w:iCs/>
          <w:color w:val="000000"/>
        </w:rPr>
        <w:t>Starts</w:t>
      </w:r>
      <w:r w:rsidR="009A1BAE" w:rsidRPr="009A1BAE">
        <w:rPr>
          <w:rFonts w:ascii="Calibri" w:eastAsia="Times New Roman" w:hAnsi="Calibri" w:cs="Calibri"/>
          <w:i/>
          <w:iCs/>
          <w:color w:val="000000"/>
        </w:rPr>
        <w:t xml:space="preserve"> </w:t>
      </w:r>
      <w:r w:rsidR="009A1BAE">
        <w:rPr>
          <w:rFonts w:ascii="Calibri" w:eastAsia="Times New Roman" w:hAnsi="Calibri" w:cs="Calibri"/>
          <w:i/>
          <w:iCs/>
          <w:color w:val="000000"/>
        </w:rPr>
        <w:t>i</w:t>
      </w:r>
      <w:r w:rsidRPr="009A1BAE">
        <w:rPr>
          <w:rFonts w:ascii="Calibri" w:eastAsia="Times New Roman" w:hAnsi="Calibri" w:cs="Calibri"/>
          <w:i/>
          <w:iCs/>
          <w:color w:val="000000"/>
        </w:rPr>
        <w:t>n</w:t>
      </w:r>
      <w:r w:rsidR="009A1BAE" w:rsidRPr="009A1BAE">
        <w:rPr>
          <w:rFonts w:ascii="Calibri" w:eastAsia="Times New Roman" w:hAnsi="Calibri" w:cs="Calibri"/>
          <w:i/>
          <w:iCs/>
          <w:color w:val="000000"/>
        </w:rPr>
        <w:t xml:space="preserve"> </w:t>
      </w:r>
      <w:r w:rsidRPr="009A1BAE">
        <w:rPr>
          <w:rFonts w:ascii="Calibri" w:eastAsia="Times New Roman" w:hAnsi="Calibri" w:cs="Calibri"/>
          <w:i/>
          <w:iCs/>
          <w:color w:val="000000"/>
        </w:rPr>
        <w:t>September</w:t>
      </w:r>
      <w:r w:rsidRPr="009A1BAE">
        <w:rPr>
          <w:rFonts w:ascii="Calibri" w:eastAsia="Times New Roman" w:hAnsi="Calibri" w:cs="Calibri"/>
          <w:color w:val="000000"/>
        </w:rPr>
        <w:t>,</w:t>
      </w:r>
      <w:r w:rsidR="009A1BAE" w:rsidRPr="009A1BAE">
        <w:rPr>
          <w:rFonts w:ascii="Calibri" w:eastAsia="Times New Roman" w:hAnsi="Calibri" w:cs="Calibri"/>
          <w:color w:val="000000"/>
        </w:rPr>
        <w:t xml:space="preserve"> </w:t>
      </w:r>
      <w:r w:rsidRPr="009A1BAE">
        <w:rPr>
          <w:rFonts w:ascii="Calibri" w:eastAsia="Times New Roman" w:hAnsi="Calibri" w:cs="Calibri"/>
          <w:color w:val="000000"/>
        </w:rPr>
        <w:t>National</w:t>
      </w:r>
      <w:r w:rsidR="009A1BAE" w:rsidRPr="009A1BAE">
        <w:rPr>
          <w:rFonts w:ascii="Calibri" w:eastAsia="Times New Roman" w:hAnsi="Calibri" w:cs="Calibri"/>
          <w:color w:val="000000"/>
        </w:rPr>
        <w:t xml:space="preserve"> </w:t>
      </w:r>
      <w:r w:rsidRPr="009A1BAE">
        <w:rPr>
          <w:rFonts w:ascii="Calibri" w:eastAsia="Times New Roman" w:hAnsi="Calibri" w:cs="Calibri"/>
          <w:color w:val="000000"/>
        </w:rPr>
        <w:t>Summer</w:t>
      </w:r>
      <w:r w:rsidR="009A1BAE" w:rsidRPr="009A1BAE">
        <w:rPr>
          <w:rFonts w:ascii="Calibri" w:eastAsia="Times New Roman" w:hAnsi="Calibri" w:cs="Calibri"/>
          <w:color w:val="000000"/>
        </w:rPr>
        <w:t xml:space="preserve"> </w:t>
      </w:r>
      <w:r w:rsidRPr="009A1BAE">
        <w:rPr>
          <w:rFonts w:ascii="Calibri" w:eastAsia="Times New Roman" w:hAnsi="Calibri" w:cs="Calibri"/>
          <w:color w:val="000000"/>
        </w:rPr>
        <w:t>Learning</w:t>
      </w:r>
      <w:r w:rsidR="009A1BAE" w:rsidRPr="009A1BAE">
        <w:rPr>
          <w:rFonts w:ascii="Calibri" w:eastAsia="Times New Roman" w:hAnsi="Calibri" w:cs="Calibri"/>
          <w:color w:val="000000"/>
        </w:rPr>
        <w:t xml:space="preserve"> </w:t>
      </w:r>
      <w:r w:rsidRPr="009A1BAE">
        <w:rPr>
          <w:rFonts w:ascii="Calibri" w:eastAsia="Times New Roman" w:hAnsi="Calibri" w:cs="Calibri"/>
          <w:color w:val="000000"/>
        </w:rPr>
        <w:t>Association</w:t>
      </w:r>
      <w:r w:rsidR="00CB57B3" w:rsidRPr="009A1BAE">
        <w:rPr>
          <w:rFonts w:ascii="Calibri" w:eastAsia="Times New Roman" w:hAnsi="Calibri" w:cs="Calibri"/>
          <w:color w:val="000000"/>
        </w:rPr>
        <w:t>:</w:t>
      </w:r>
      <w:r w:rsidR="009A1BAE" w:rsidRPr="009A1BAE">
        <w:rPr>
          <w:rFonts w:ascii="Calibri" w:eastAsia="Times New Roman" w:hAnsi="Calibri" w:cs="Calibri"/>
          <w:color w:val="000000"/>
        </w:rPr>
        <w:t xml:space="preserve"> </w:t>
      </w:r>
      <w:r w:rsidRPr="009A1BAE">
        <w:rPr>
          <w:rFonts w:ascii="Calibri" w:eastAsia="Times New Roman" w:hAnsi="Calibri" w:cs="Calibri"/>
          <w:color w:val="000000"/>
        </w:rPr>
        <w:t>V</w:t>
      </w:r>
      <w:r w:rsidR="00CB57B3" w:rsidRPr="009A1BAE">
        <w:rPr>
          <w:rFonts w:ascii="Calibri" w:eastAsia="Times New Roman" w:hAnsi="Calibri" w:cs="Calibri"/>
          <w:color w:val="000000"/>
        </w:rPr>
        <w:t>olume</w:t>
      </w:r>
      <w:r w:rsidR="009A1BAE" w:rsidRPr="009A1BAE">
        <w:rPr>
          <w:rFonts w:ascii="Calibri" w:eastAsia="Times New Roman" w:hAnsi="Calibri" w:cs="Calibri"/>
          <w:color w:val="000000"/>
        </w:rPr>
        <w:t xml:space="preserve"> </w:t>
      </w:r>
      <w:r w:rsidRPr="009A1BAE">
        <w:rPr>
          <w:rFonts w:ascii="Calibri" w:eastAsia="Times New Roman" w:hAnsi="Calibri" w:cs="Calibri"/>
          <w:color w:val="000000"/>
        </w:rPr>
        <w:t>2</w:t>
      </w:r>
      <w:r w:rsidR="00CB57B3" w:rsidRPr="009A1BAE">
        <w:rPr>
          <w:rFonts w:ascii="Calibri" w:eastAsia="Times New Roman" w:hAnsi="Calibri" w:cs="Calibri"/>
          <w:color w:val="000000"/>
        </w:rPr>
        <w:t>,</w:t>
      </w:r>
      <w:r w:rsidR="009A1BAE" w:rsidRPr="009A1BAE">
        <w:rPr>
          <w:rFonts w:ascii="Calibri" w:eastAsia="Times New Roman" w:hAnsi="Calibri" w:cs="Calibri"/>
          <w:color w:val="000000"/>
        </w:rPr>
        <w:t xml:space="preserve"> </w:t>
      </w:r>
      <w:r w:rsidR="00CB57B3" w:rsidRPr="009A1BAE">
        <w:rPr>
          <w:rFonts w:ascii="Calibri" w:eastAsia="Times New Roman" w:hAnsi="Calibri" w:cs="Calibri"/>
          <w:color w:val="000000"/>
        </w:rPr>
        <w:t>released</w:t>
      </w:r>
      <w:r w:rsidR="009A1BAE" w:rsidRPr="009A1BAE">
        <w:rPr>
          <w:rFonts w:ascii="Calibri" w:eastAsia="Times New Roman" w:hAnsi="Calibri" w:cs="Calibri"/>
          <w:color w:val="000000"/>
        </w:rPr>
        <w:t xml:space="preserve"> </w:t>
      </w:r>
      <w:r w:rsidRPr="009A1BAE">
        <w:rPr>
          <w:rFonts w:ascii="Calibri" w:eastAsia="Times New Roman" w:hAnsi="Calibri" w:cs="Calibri"/>
          <w:color w:val="000000"/>
        </w:rPr>
        <w:t>S</w:t>
      </w:r>
      <w:r w:rsidR="00CB57B3" w:rsidRPr="009A1BAE">
        <w:rPr>
          <w:rFonts w:ascii="Calibri" w:eastAsia="Times New Roman" w:hAnsi="Calibri" w:cs="Calibri"/>
          <w:color w:val="000000"/>
        </w:rPr>
        <w:t>eptember</w:t>
      </w:r>
      <w:r w:rsidR="009A1BAE" w:rsidRPr="009A1BAE">
        <w:rPr>
          <w:rFonts w:ascii="Calibri" w:eastAsia="Times New Roman" w:hAnsi="Calibri" w:cs="Calibri"/>
          <w:color w:val="000000"/>
        </w:rPr>
        <w:t xml:space="preserve"> </w:t>
      </w:r>
      <w:r w:rsidRPr="009A1BAE">
        <w:rPr>
          <w:rFonts w:ascii="Calibri" w:eastAsia="Times New Roman" w:hAnsi="Calibri" w:cs="Calibri"/>
          <w:color w:val="000000"/>
        </w:rPr>
        <w:t>2013</w:t>
      </w:r>
    </w:p>
    <w:p w14:paraId="2C9CFD8B" w14:textId="4CE98E29" w:rsidR="00DF4815" w:rsidRDefault="00DF4815" w:rsidP="00DF4815">
      <w:pPr>
        <w:shd w:val="clear" w:color="auto" w:fill="FFFFFF"/>
        <w:spacing w:after="120" w:line="240" w:lineRule="auto"/>
        <w:textAlignment w:val="baseline"/>
        <w:rPr>
          <w:rFonts w:ascii="Calibri" w:eastAsia="Times New Roman" w:hAnsi="Calibri" w:cs="Calibri"/>
          <w:color w:val="000000"/>
        </w:rPr>
      </w:pPr>
      <w:r w:rsidRPr="00DF4815">
        <w:rPr>
          <w:rStyle w:val="Strong"/>
        </w:rPr>
        <w:t>Note</w:t>
      </w:r>
      <w:r>
        <w:rPr>
          <w:rFonts w:ascii="Calibri" w:eastAsia="Times New Roman" w:hAnsi="Calibri" w:cs="Calibri"/>
          <w:color w:val="000000"/>
        </w:rPr>
        <w:t>: For all tables,</w:t>
      </w:r>
      <w:r w:rsidR="000A32CE">
        <w:rPr>
          <w:rFonts w:ascii="Calibri" w:eastAsia="Times New Roman" w:hAnsi="Calibri" w:cs="Calibri"/>
          <w:color w:val="000000"/>
        </w:rPr>
        <w:t xml:space="preserve"> </w:t>
      </w:r>
      <w:r w:rsidR="007F1E95">
        <w:rPr>
          <w:rFonts w:ascii="Calibri" w:eastAsia="Times New Roman" w:hAnsi="Calibri" w:cs="Calibri"/>
          <w:color w:val="000000"/>
        </w:rPr>
        <w:t xml:space="preserve">you can enter </w:t>
      </w:r>
      <w:r w:rsidR="00661141">
        <w:rPr>
          <w:rFonts w:ascii="Calibri" w:eastAsia="Times New Roman" w:hAnsi="Calibri" w:cs="Calibri"/>
          <w:color w:val="000000"/>
        </w:rPr>
        <w:t xml:space="preserve">your </w:t>
      </w:r>
      <w:r w:rsidR="007F1E95">
        <w:rPr>
          <w:rFonts w:ascii="Calibri" w:eastAsia="Times New Roman" w:hAnsi="Calibri" w:cs="Calibri"/>
          <w:color w:val="000000"/>
        </w:rPr>
        <w:t>notes in column 3.</w:t>
      </w:r>
    </w:p>
    <w:p w14:paraId="4BB90164" w14:textId="45DD69F2" w:rsidR="00E32FBD" w:rsidRPr="00530C8A" w:rsidRDefault="00E32FBD" w:rsidP="00530C8A">
      <w:pPr>
        <w:pStyle w:val="Heading2"/>
      </w:pPr>
      <w:r w:rsidRPr="00530C8A">
        <w:t>I. Curriculum Framewor</w:t>
      </w:r>
      <w:r w:rsidR="00530C8A">
        <w:t>k</w:t>
      </w:r>
    </w:p>
    <w:tbl>
      <w:tblPr>
        <w:tblStyle w:val="TableGrid"/>
        <w:tblpPr w:leftFromText="180" w:rightFromText="180" w:vertAnchor="text" w:horzAnchor="margin" w:tblpX="-95" w:tblpY="378"/>
        <w:tblW w:w="14575" w:type="dxa"/>
        <w:tblCellMar>
          <w:top w:w="86" w:type="dxa"/>
          <w:left w:w="115" w:type="dxa"/>
          <w:bottom w:w="144" w:type="dxa"/>
          <w:right w:w="115" w:type="dxa"/>
        </w:tblCellMar>
        <w:tblLook w:val="04A0" w:firstRow="1" w:lastRow="0" w:firstColumn="1" w:lastColumn="0" w:noHBand="0" w:noVBand="1"/>
      </w:tblPr>
      <w:tblGrid>
        <w:gridCol w:w="4921"/>
        <w:gridCol w:w="6154"/>
        <w:gridCol w:w="3500"/>
      </w:tblGrid>
      <w:tr w:rsidR="00530C8A" w14:paraId="24095438" w14:textId="77777777" w:rsidTr="00530C8A">
        <w:trPr>
          <w:tblHeader/>
        </w:trPr>
        <w:tc>
          <w:tcPr>
            <w:tcW w:w="4921" w:type="dxa"/>
            <w:tcBorders>
              <w:right w:val="single" w:sz="4" w:space="0" w:color="FFFFFF" w:themeColor="background1"/>
            </w:tcBorders>
            <w:shd w:val="clear" w:color="auto" w:fill="1F3864" w:themeFill="accent1" w:themeFillShade="80"/>
          </w:tcPr>
          <w:p w14:paraId="06DD4BE9" w14:textId="77777777" w:rsidR="00530C8A" w:rsidRPr="00530C8A" w:rsidRDefault="00530C8A" w:rsidP="00530C8A">
            <w:pPr>
              <w:jc w:val="center"/>
              <w:rPr>
                <w:rStyle w:val="Strong"/>
                <w:sz w:val="24"/>
                <w:szCs w:val="24"/>
              </w:rPr>
            </w:pPr>
            <w:r w:rsidRPr="00530C8A">
              <w:rPr>
                <w:rStyle w:val="Strong"/>
                <w:sz w:val="24"/>
                <w:szCs w:val="24"/>
              </w:rPr>
              <w:t>Indicator</w:t>
            </w:r>
          </w:p>
        </w:tc>
        <w:tc>
          <w:tcPr>
            <w:tcW w:w="6154" w:type="dxa"/>
            <w:tcBorders>
              <w:left w:val="single" w:sz="4" w:space="0" w:color="FFFFFF" w:themeColor="background1"/>
              <w:right w:val="single" w:sz="4" w:space="0" w:color="FFFFFF" w:themeColor="background1"/>
            </w:tcBorders>
            <w:shd w:val="clear" w:color="auto" w:fill="1F3864" w:themeFill="accent1" w:themeFillShade="80"/>
          </w:tcPr>
          <w:p w14:paraId="72B5ECED" w14:textId="77777777" w:rsidR="00530C8A" w:rsidRPr="00530C8A" w:rsidRDefault="00530C8A" w:rsidP="00530C8A">
            <w:pPr>
              <w:jc w:val="center"/>
              <w:rPr>
                <w:rStyle w:val="Strong"/>
                <w:sz w:val="24"/>
                <w:szCs w:val="24"/>
              </w:rPr>
            </w:pPr>
            <w:r w:rsidRPr="00530C8A">
              <w:rPr>
                <w:rStyle w:val="Strong"/>
                <w:sz w:val="24"/>
                <w:szCs w:val="24"/>
              </w:rPr>
              <w:t>Example</w:t>
            </w:r>
          </w:p>
        </w:tc>
        <w:tc>
          <w:tcPr>
            <w:tcW w:w="3500" w:type="dxa"/>
            <w:tcBorders>
              <w:left w:val="single" w:sz="4" w:space="0" w:color="FFFFFF" w:themeColor="background1"/>
            </w:tcBorders>
            <w:shd w:val="clear" w:color="auto" w:fill="1F3864" w:themeFill="accent1" w:themeFillShade="80"/>
          </w:tcPr>
          <w:p w14:paraId="484F44A5" w14:textId="77777777" w:rsidR="00530C8A" w:rsidRPr="00530C8A" w:rsidRDefault="00530C8A" w:rsidP="00530C8A">
            <w:pPr>
              <w:jc w:val="center"/>
              <w:rPr>
                <w:rStyle w:val="Strong"/>
                <w:sz w:val="24"/>
                <w:szCs w:val="24"/>
              </w:rPr>
            </w:pPr>
            <w:r w:rsidRPr="00530C8A">
              <w:rPr>
                <w:rStyle w:val="Strong"/>
                <w:sz w:val="24"/>
                <w:szCs w:val="24"/>
              </w:rPr>
              <w:t>Notes</w:t>
            </w:r>
          </w:p>
        </w:tc>
      </w:tr>
      <w:tr w:rsidR="00530C8A" w14:paraId="31150862" w14:textId="77777777" w:rsidTr="00530C8A">
        <w:tc>
          <w:tcPr>
            <w:tcW w:w="4921" w:type="dxa"/>
          </w:tcPr>
          <w:p w14:paraId="14F0BFDD" w14:textId="77777777" w:rsidR="00530C8A" w:rsidRDefault="00530C8A" w:rsidP="00530C8A">
            <w:r>
              <w:t>Curriculum is based on select New Jersey Student Learning Standards</w:t>
            </w:r>
          </w:p>
        </w:tc>
        <w:tc>
          <w:tcPr>
            <w:tcW w:w="6154" w:type="dxa"/>
          </w:tcPr>
          <w:p w14:paraId="72FD3AC1" w14:textId="77777777" w:rsidR="00530C8A" w:rsidRDefault="00530C8A" w:rsidP="00530C8A">
            <w:r>
              <w:t>Using local assessment data, identify few standards that groups of students may need additional support in mastering (text as evidence, fractions, etc.)</w:t>
            </w:r>
          </w:p>
        </w:tc>
        <w:tc>
          <w:tcPr>
            <w:tcW w:w="3500" w:type="dxa"/>
          </w:tcPr>
          <w:p w14:paraId="77C3E42A" w14:textId="77777777" w:rsidR="00530C8A" w:rsidRDefault="00530C8A" w:rsidP="00530C8A"/>
        </w:tc>
      </w:tr>
      <w:tr w:rsidR="00530C8A" w14:paraId="75C4AA95" w14:textId="77777777" w:rsidTr="00530C8A">
        <w:tc>
          <w:tcPr>
            <w:tcW w:w="4921" w:type="dxa"/>
          </w:tcPr>
          <w:p w14:paraId="0EEF6B73" w14:textId="77777777" w:rsidR="00530C8A" w:rsidRDefault="00530C8A" w:rsidP="00530C8A">
            <w:r>
              <w:t>Curriculum has well-defined, developmentally appropriate learning goals and objectives</w:t>
            </w:r>
          </w:p>
        </w:tc>
        <w:tc>
          <w:tcPr>
            <w:tcW w:w="6154" w:type="dxa"/>
          </w:tcPr>
          <w:p w14:paraId="11F9D812" w14:textId="77777777" w:rsidR="00530C8A" w:rsidRDefault="00530C8A" w:rsidP="00530C8A">
            <w:r>
              <w:t>Consider the prerequisite concepts and skills as well as proficiency and learning targets that students meet on the road to mastery</w:t>
            </w:r>
          </w:p>
        </w:tc>
        <w:tc>
          <w:tcPr>
            <w:tcW w:w="3500" w:type="dxa"/>
          </w:tcPr>
          <w:p w14:paraId="38E2F458" w14:textId="77777777" w:rsidR="00530C8A" w:rsidRDefault="00530C8A" w:rsidP="00530C8A"/>
        </w:tc>
      </w:tr>
      <w:tr w:rsidR="00530C8A" w14:paraId="4276BAB8" w14:textId="77777777" w:rsidTr="00530C8A">
        <w:tc>
          <w:tcPr>
            <w:tcW w:w="4921" w:type="dxa"/>
          </w:tcPr>
          <w:p w14:paraId="14D1156F" w14:textId="77777777" w:rsidR="00530C8A" w:rsidRDefault="00530C8A" w:rsidP="00530C8A">
            <w:r>
              <w:t>Student engagement is a primary focus in developing curriculum</w:t>
            </w:r>
          </w:p>
        </w:tc>
        <w:tc>
          <w:tcPr>
            <w:tcW w:w="6154" w:type="dxa"/>
          </w:tcPr>
          <w:p w14:paraId="34300E2E" w14:textId="77777777" w:rsidR="00530C8A" w:rsidRDefault="00530C8A" w:rsidP="00530C8A">
            <w:r>
              <w:t>The core content addressed can become more engaging when integrated with other NJSLS content areas (ELA within the performing arts, math within robotics and computer science).</w:t>
            </w:r>
          </w:p>
        </w:tc>
        <w:tc>
          <w:tcPr>
            <w:tcW w:w="3500" w:type="dxa"/>
          </w:tcPr>
          <w:p w14:paraId="329CBFCC" w14:textId="77777777" w:rsidR="00530C8A" w:rsidRDefault="00530C8A" w:rsidP="00530C8A"/>
        </w:tc>
      </w:tr>
      <w:tr w:rsidR="00530C8A" w14:paraId="52D3E274" w14:textId="77777777" w:rsidTr="00530C8A">
        <w:tc>
          <w:tcPr>
            <w:tcW w:w="4921" w:type="dxa"/>
          </w:tcPr>
          <w:p w14:paraId="5FE5F4DE" w14:textId="287B9318" w:rsidR="00530C8A" w:rsidRDefault="00530C8A" w:rsidP="00530C8A">
            <w:r>
              <w:t xml:space="preserve">Curriculum provides programming for at least </w:t>
            </w:r>
            <w:r w:rsidR="002F681E">
              <w:t>6</w:t>
            </w:r>
            <w:r>
              <w:t xml:space="preserve"> weeks of sequential and progressive learning experiences that encourages attendance</w:t>
            </w:r>
          </w:p>
        </w:tc>
        <w:tc>
          <w:tcPr>
            <w:tcW w:w="6154" w:type="dxa"/>
          </w:tcPr>
          <w:p w14:paraId="13EFC231" w14:textId="77777777" w:rsidR="00530C8A" w:rsidRDefault="00530C8A" w:rsidP="00530C8A">
            <w:r>
              <w:t xml:space="preserve">Plan for and include engaging experiences and student-centered performance assessments every week </w:t>
            </w:r>
          </w:p>
        </w:tc>
        <w:tc>
          <w:tcPr>
            <w:tcW w:w="3500" w:type="dxa"/>
          </w:tcPr>
          <w:p w14:paraId="6FF98799" w14:textId="77777777" w:rsidR="00530C8A" w:rsidRDefault="00530C8A" w:rsidP="00530C8A"/>
        </w:tc>
      </w:tr>
      <w:tr w:rsidR="00530C8A" w14:paraId="2A2CE60A" w14:textId="77777777" w:rsidTr="00530C8A">
        <w:tc>
          <w:tcPr>
            <w:tcW w:w="4921" w:type="dxa"/>
          </w:tcPr>
          <w:p w14:paraId="25A36F4F" w14:textId="77777777" w:rsidR="00530C8A" w:rsidRDefault="00530C8A" w:rsidP="00530C8A">
            <w:r>
              <w:t>Curriculum and learning activities can be easily adapted for diverse learners and student interest</w:t>
            </w:r>
          </w:p>
        </w:tc>
        <w:tc>
          <w:tcPr>
            <w:tcW w:w="6154" w:type="dxa"/>
          </w:tcPr>
          <w:p w14:paraId="09F1E426" w14:textId="796AC323" w:rsidR="00530C8A" w:rsidRDefault="00530C8A" w:rsidP="00530C8A">
            <w:r>
              <w:t xml:space="preserve">Leverage dynamic and strategic groupings to ensure all students needs and interests are met </w:t>
            </w:r>
          </w:p>
        </w:tc>
        <w:tc>
          <w:tcPr>
            <w:tcW w:w="3500" w:type="dxa"/>
          </w:tcPr>
          <w:p w14:paraId="1FCA2CFF" w14:textId="77777777" w:rsidR="00530C8A" w:rsidRDefault="00530C8A" w:rsidP="00530C8A"/>
        </w:tc>
      </w:tr>
    </w:tbl>
    <w:p w14:paraId="5A36514A" w14:textId="1B0DC08F" w:rsidR="00530C8A" w:rsidRDefault="00530C8A" w:rsidP="00530C8A">
      <w:r w:rsidRPr="00530C8A">
        <w:t>Summer learning curricula should define the program, but also offer structure and flexibility</w:t>
      </w:r>
      <w:r w:rsidR="001B2D03">
        <w:t>.</w:t>
      </w:r>
    </w:p>
    <w:p w14:paraId="3CE152C8" w14:textId="77777777" w:rsidR="00530C8A" w:rsidRDefault="00530C8A">
      <w:pPr>
        <w:rPr>
          <w:b/>
          <w:bCs/>
          <w:sz w:val="28"/>
          <w:szCs w:val="28"/>
        </w:rPr>
      </w:pPr>
      <w:r>
        <w:br w:type="page"/>
      </w:r>
    </w:p>
    <w:p w14:paraId="3937F70E" w14:textId="77C432E4" w:rsidR="00530C8A" w:rsidRPr="00530C8A" w:rsidRDefault="00530C8A" w:rsidP="00530C8A">
      <w:pPr>
        <w:pStyle w:val="Heading2"/>
      </w:pPr>
      <w:r>
        <w:lastRenderedPageBreak/>
        <w:t xml:space="preserve">II. </w:t>
      </w:r>
      <w:r w:rsidRPr="00233C0F">
        <w:t>Activities</w:t>
      </w:r>
      <w:r>
        <w:t xml:space="preserve"> </w:t>
      </w:r>
      <w:r w:rsidRPr="00233C0F">
        <w:t>connected</w:t>
      </w:r>
      <w:r>
        <w:t xml:space="preserve"> </w:t>
      </w:r>
      <w:r w:rsidRPr="00233C0F">
        <w:t>to</w:t>
      </w:r>
      <w:r>
        <w:t xml:space="preserve"> </w:t>
      </w:r>
      <w:r w:rsidRPr="00233C0F">
        <w:t>Key</w:t>
      </w:r>
      <w:r>
        <w:t xml:space="preserve"> </w:t>
      </w:r>
      <w:r w:rsidRPr="00233C0F">
        <w:t>Summer</w:t>
      </w:r>
      <w:r>
        <w:t xml:space="preserve"> </w:t>
      </w:r>
      <w:r w:rsidRPr="00233C0F">
        <w:t>Learning</w:t>
      </w:r>
      <w:r>
        <w:t xml:space="preserve"> </w:t>
      </w:r>
      <w:r w:rsidRPr="00233C0F">
        <w:t>Concepts</w:t>
      </w:r>
    </w:p>
    <w:p w14:paraId="7851B227" w14:textId="150C7C6B" w:rsidR="00530C8A" w:rsidRDefault="00530C8A">
      <w:r w:rsidRPr="00530C8A">
        <w:rPr>
          <w:rStyle w:val="Emphasis"/>
          <w:i w:val="0"/>
          <w:iCs w:val="0"/>
        </w:rPr>
        <w:t>Activities in summer programs should mirror the school day and engage participants in physical activities, exploration of the arts and science, and opportunities to establish social-emotional wellness</w:t>
      </w:r>
      <w:r w:rsidR="001B2D03">
        <w:rPr>
          <w:rStyle w:val="Emphasis"/>
          <w:i w:val="0"/>
          <w:iCs w:val="0"/>
        </w:rPr>
        <w:t>.</w:t>
      </w:r>
    </w:p>
    <w:tbl>
      <w:tblPr>
        <w:tblStyle w:val="TableGrid"/>
        <w:tblW w:w="14490" w:type="dxa"/>
        <w:tblInd w:w="-5" w:type="dxa"/>
        <w:tblCellMar>
          <w:top w:w="86" w:type="dxa"/>
          <w:left w:w="115" w:type="dxa"/>
          <w:bottom w:w="144" w:type="dxa"/>
          <w:right w:w="115" w:type="dxa"/>
        </w:tblCellMar>
        <w:tblLook w:val="04A0" w:firstRow="1" w:lastRow="0" w:firstColumn="1" w:lastColumn="0" w:noHBand="0" w:noVBand="1"/>
      </w:tblPr>
      <w:tblGrid>
        <w:gridCol w:w="4826"/>
        <w:gridCol w:w="6154"/>
        <w:gridCol w:w="3510"/>
      </w:tblGrid>
      <w:tr w:rsidR="001B5C65" w14:paraId="2A1E6D81" w14:textId="77777777" w:rsidTr="00530C8A">
        <w:trPr>
          <w:tblHeader/>
        </w:trPr>
        <w:tc>
          <w:tcPr>
            <w:tcW w:w="4826" w:type="dxa"/>
            <w:tcBorders>
              <w:right w:val="single" w:sz="4" w:space="0" w:color="FFFFFF" w:themeColor="background1"/>
            </w:tcBorders>
            <w:shd w:val="clear" w:color="auto" w:fill="1F3864" w:themeFill="accent1" w:themeFillShade="80"/>
          </w:tcPr>
          <w:p w14:paraId="0F0581C4" w14:textId="16CA3958" w:rsidR="001B5C65" w:rsidRPr="00530C8A" w:rsidRDefault="001B5C65" w:rsidP="00233C0F">
            <w:pPr>
              <w:jc w:val="center"/>
              <w:rPr>
                <w:rStyle w:val="Strong"/>
                <w:sz w:val="24"/>
                <w:szCs w:val="24"/>
              </w:rPr>
            </w:pPr>
            <w:r w:rsidRPr="00530C8A">
              <w:rPr>
                <w:rStyle w:val="Strong"/>
                <w:sz w:val="24"/>
                <w:szCs w:val="24"/>
              </w:rPr>
              <w:t>Indicator</w:t>
            </w:r>
          </w:p>
        </w:tc>
        <w:tc>
          <w:tcPr>
            <w:tcW w:w="6154" w:type="dxa"/>
            <w:tcBorders>
              <w:left w:val="single" w:sz="4" w:space="0" w:color="FFFFFF" w:themeColor="background1"/>
              <w:right w:val="single" w:sz="4" w:space="0" w:color="FFFFFF" w:themeColor="background1"/>
            </w:tcBorders>
            <w:shd w:val="clear" w:color="auto" w:fill="1F3864" w:themeFill="accent1" w:themeFillShade="80"/>
          </w:tcPr>
          <w:p w14:paraId="615002B5" w14:textId="6706AFE5" w:rsidR="001B5C65" w:rsidRPr="00530C8A" w:rsidRDefault="001B5C65" w:rsidP="00233C0F">
            <w:pPr>
              <w:jc w:val="center"/>
              <w:rPr>
                <w:rStyle w:val="Strong"/>
                <w:sz w:val="24"/>
                <w:szCs w:val="24"/>
              </w:rPr>
            </w:pPr>
            <w:r w:rsidRPr="00530C8A">
              <w:rPr>
                <w:rStyle w:val="Strong"/>
                <w:sz w:val="24"/>
                <w:szCs w:val="24"/>
              </w:rPr>
              <w:t>Example</w:t>
            </w:r>
          </w:p>
        </w:tc>
        <w:tc>
          <w:tcPr>
            <w:tcW w:w="3510" w:type="dxa"/>
            <w:tcBorders>
              <w:left w:val="single" w:sz="4" w:space="0" w:color="FFFFFF" w:themeColor="background1"/>
            </w:tcBorders>
            <w:shd w:val="clear" w:color="auto" w:fill="1F3864" w:themeFill="accent1" w:themeFillShade="80"/>
          </w:tcPr>
          <w:p w14:paraId="5584D708" w14:textId="0696D69C" w:rsidR="001B5C65" w:rsidRPr="00530C8A" w:rsidRDefault="001B5C65" w:rsidP="00233C0F">
            <w:pPr>
              <w:jc w:val="center"/>
              <w:rPr>
                <w:rStyle w:val="Strong"/>
                <w:sz w:val="24"/>
                <w:szCs w:val="24"/>
              </w:rPr>
            </w:pPr>
            <w:r w:rsidRPr="00530C8A">
              <w:rPr>
                <w:rStyle w:val="Strong"/>
                <w:sz w:val="24"/>
                <w:szCs w:val="24"/>
              </w:rPr>
              <w:t>Notes</w:t>
            </w:r>
          </w:p>
        </w:tc>
      </w:tr>
      <w:tr w:rsidR="00E02C6C" w14:paraId="09ADDFFA" w14:textId="77777777" w:rsidTr="00530C8A">
        <w:tc>
          <w:tcPr>
            <w:tcW w:w="4826" w:type="dxa"/>
          </w:tcPr>
          <w:p w14:paraId="19BDE68C" w14:textId="35042BCA" w:rsidR="00E02C6C" w:rsidRDefault="00233C0F">
            <w:r>
              <w:t>Activities</w:t>
            </w:r>
            <w:r w:rsidR="009A1BAE">
              <w:t xml:space="preserve"> </w:t>
            </w:r>
            <w:r>
              <w:t>foster</w:t>
            </w:r>
            <w:r w:rsidR="009A1BAE">
              <w:t xml:space="preserve"> </w:t>
            </w:r>
            <w:r>
              <w:t>creativity</w:t>
            </w:r>
            <w:r w:rsidR="009A1BAE">
              <w:t xml:space="preserve"> </w:t>
            </w:r>
            <w:r>
              <w:t>and</w:t>
            </w:r>
            <w:r w:rsidR="009A1BAE">
              <w:t xml:space="preserve"> </w:t>
            </w:r>
            <w:r>
              <w:t>critical</w:t>
            </w:r>
            <w:r w:rsidR="009A1BAE">
              <w:t xml:space="preserve"> </w:t>
            </w:r>
            <w:r>
              <w:t>thinking</w:t>
            </w:r>
          </w:p>
        </w:tc>
        <w:tc>
          <w:tcPr>
            <w:tcW w:w="6154" w:type="dxa"/>
          </w:tcPr>
          <w:p w14:paraId="2542507E" w14:textId="441A4298" w:rsidR="00E02C6C" w:rsidRDefault="00233C0F">
            <w:r>
              <w:t>Allow</w:t>
            </w:r>
            <w:r w:rsidR="009A1BAE">
              <w:t xml:space="preserve"> </w:t>
            </w:r>
            <w:r>
              <w:t>students</w:t>
            </w:r>
            <w:r w:rsidR="009A1BAE">
              <w:t xml:space="preserve"> </w:t>
            </w:r>
            <w:r>
              <w:t>to</w:t>
            </w:r>
            <w:r w:rsidR="009A1BAE">
              <w:t xml:space="preserve"> </w:t>
            </w:r>
            <w:r>
              <w:t>exercise</w:t>
            </w:r>
            <w:r w:rsidR="009A1BAE">
              <w:t xml:space="preserve"> </w:t>
            </w:r>
            <w:r>
              <w:t>choice</w:t>
            </w:r>
            <w:r w:rsidR="009A1BAE">
              <w:t xml:space="preserve"> </w:t>
            </w:r>
            <w:r>
              <w:t>and</w:t>
            </w:r>
            <w:r w:rsidR="009A1BAE">
              <w:t xml:space="preserve"> </w:t>
            </w:r>
            <w:r>
              <w:t>voice</w:t>
            </w:r>
            <w:r w:rsidR="009A1BAE">
              <w:t xml:space="preserve"> </w:t>
            </w:r>
            <w:r>
              <w:t>in</w:t>
            </w:r>
            <w:r w:rsidR="009A1BAE">
              <w:t xml:space="preserve"> </w:t>
            </w:r>
            <w:r>
              <w:t>both</w:t>
            </w:r>
            <w:r w:rsidR="009A1BAE">
              <w:t xml:space="preserve"> </w:t>
            </w:r>
            <w:r>
              <w:t>their</w:t>
            </w:r>
            <w:r w:rsidR="009A1BAE">
              <w:t xml:space="preserve"> </w:t>
            </w:r>
            <w:r>
              <w:t>learning</w:t>
            </w:r>
            <w:r w:rsidR="009A1BAE">
              <w:t xml:space="preserve"> </w:t>
            </w:r>
            <w:r>
              <w:t>process</w:t>
            </w:r>
            <w:r w:rsidR="009A1BAE">
              <w:t xml:space="preserve"> </w:t>
            </w:r>
            <w:r>
              <w:t>and</w:t>
            </w:r>
            <w:r w:rsidR="009A1BAE">
              <w:t xml:space="preserve"> </w:t>
            </w:r>
            <w:r>
              <w:t>products</w:t>
            </w:r>
            <w:r w:rsidR="000432D4">
              <w:t>,</w:t>
            </w:r>
            <w:r w:rsidR="009A1BAE">
              <w:t xml:space="preserve"> </w:t>
            </w:r>
            <w:r w:rsidR="000432D4">
              <w:t>and</w:t>
            </w:r>
            <w:r w:rsidR="009A1BAE">
              <w:t xml:space="preserve"> </w:t>
            </w:r>
            <w:r w:rsidR="000432D4">
              <w:t>feature</w:t>
            </w:r>
            <w:r w:rsidR="009A1BAE">
              <w:t xml:space="preserve"> </w:t>
            </w:r>
            <w:r w:rsidR="000432D4">
              <w:t>problem</w:t>
            </w:r>
            <w:r w:rsidR="009A1BAE">
              <w:t xml:space="preserve"> </w:t>
            </w:r>
            <w:r w:rsidR="000432D4">
              <w:t>and</w:t>
            </w:r>
            <w:r w:rsidR="009A1BAE">
              <w:t xml:space="preserve"> </w:t>
            </w:r>
            <w:r w:rsidR="000432D4">
              <w:t>project-based</w:t>
            </w:r>
            <w:r w:rsidR="009A1BAE">
              <w:t xml:space="preserve"> </w:t>
            </w:r>
            <w:r w:rsidR="000432D4">
              <w:t>learning</w:t>
            </w:r>
            <w:r w:rsidR="009A1BAE">
              <w:t xml:space="preserve"> </w:t>
            </w:r>
            <w:r w:rsidR="000432D4">
              <w:t>opportunities</w:t>
            </w:r>
          </w:p>
        </w:tc>
        <w:tc>
          <w:tcPr>
            <w:tcW w:w="3510" w:type="dxa"/>
          </w:tcPr>
          <w:p w14:paraId="7C16BE1F" w14:textId="77777777" w:rsidR="00E02C6C" w:rsidRDefault="00E02C6C"/>
        </w:tc>
      </w:tr>
      <w:tr w:rsidR="00E02C6C" w14:paraId="65B1ACA0" w14:textId="77777777" w:rsidTr="00530C8A">
        <w:tc>
          <w:tcPr>
            <w:tcW w:w="4826" w:type="dxa"/>
          </w:tcPr>
          <w:p w14:paraId="1ED863FB" w14:textId="09DF2400" w:rsidR="00E02C6C" w:rsidRDefault="00233C0F">
            <w:r>
              <w:t>Activities</w:t>
            </w:r>
            <w:r w:rsidR="009A1BAE">
              <w:t xml:space="preserve"> </w:t>
            </w:r>
            <w:r>
              <w:t>encourage</w:t>
            </w:r>
            <w:r w:rsidR="009A1BAE">
              <w:t xml:space="preserve"> </w:t>
            </w:r>
            <w:r>
              <w:t>students</w:t>
            </w:r>
            <w:r w:rsidR="009A1BAE">
              <w:t xml:space="preserve"> </w:t>
            </w:r>
            <w:r>
              <w:t>to</w:t>
            </w:r>
            <w:r w:rsidR="009A1BAE">
              <w:t xml:space="preserve"> </w:t>
            </w:r>
            <w:r>
              <w:t>seek</w:t>
            </w:r>
            <w:r w:rsidR="009A1BAE">
              <w:t xml:space="preserve"> </w:t>
            </w:r>
            <w:r>
              <w:t>new</w:t>
            </w:r>
            <w:r w:rsidR="009A1BAE">
              <w:t xml:space="preserve"> </w:t>
            </w:r>
            <w:r>
              <w:t>interests</w:t>
            </w:r>
            <w:r w:rsidR="009A1BAE">
              <w:t xml:space="preserve"> </w:t>
            </w:r>
            <w:r>
              <w:t>and</w:t>
            </w:r>
            <w:r w:rsidR="009A1BAE">
              <w:t xml:space="preserve"> </w:t>
            </w:r>
            <w:r>
              <w:t>develop</w:t>
            </w:r>
            <w:r w:rsidR="009A1BAE">
              <w:t xml:space="preserve"> </w:t>
            </w:r>
            <w:r>
              <w:t>new</w:t>
            </w:r>
            <w:r w:rsidR="009A1BAE">
              <w:t xml:space="preserve"> </w:t>
            </w:r>
            <w:r>
              <w:t>talents</w:t>
            </w:r>
          </w:p>
        </w:tc>
        <w:tc>
          <w:tcPr>
            <w:tcW w:w="6154" w:type="dxa"/>
          </w:tcPr>
          <w:p w14:paraId="6E804EA0" w14:textId="0FCD171F" w:rsidR="00E02C6C" w:rsidRDefault="00233C0F">
            <w:r>
              <w:t>Offer</w:t>
            </w:r>
            <w:r w:rsidR="009A1BAE">
              <w:t xml:space="preserve"> </w:t>
            </w:r>
            <w:r>
              <w:t>opportunities</w:t>
            </w:r>
            <w:r w:rsidR="009A1BAE">
              <w:t xml:space="preserve"> </w:t>
            </w:r>
            <w:r>
              <w:t>for</w:t>
            </w:r>
            <w:r w:rsidR="009A1BAE">
              <w:t xml:space="preserve"> </w:t>
            </w:r>
            <w:r>
              <w:t>students</w:t>
            </w:r>
            <w:r w:rsidR="009A1BAE">
              <w:t xml:space="preserve"> </w:t>
            </w:r>
            <w:r>
              <w:t>to</w:t>
            </w:r>
            <w:r w:rsidR="009A1BAE">
              <w:t xml:space="preserve"> </w:t>
            </w:r>
            <w:r>
              <w:t>self-identify,</w:t>
            </w:r>
            <w:r w:rsidR="009A1BAE">
              <w:t xml:space="preserve"> </w:t>
            </w:r>
            <w:r>
              <w:t>group</w:t>
            </w:r>
            <w:r w:rsidR="009A1BAE">
              <w:t xml:space="preserve"> </w:t>
            </w:r>
            <w:r>
              <w:t>and</w:t>
            </w:r>
            <w:r w:rsidR="009A1BAE">
              <w:t xml:space="preserve"> </w:t>
            </w:r>
            <w:r>
              <w:t>participate</w:t>
            </w:r>
            <w:r w:rsidR="009A1BAE">
              <w:t xml:space="preserve"> </w:t>
            </w:r>
            <w:r>
              <w:t>at</w:t>
            </w:r>
            <w:r w:rsidR="009A1BAE">
              <w:t xml:space="preserve"> </w:t>
            </w:r>
            <w:r>
              <w:t>different</w:t>
            </w:r>
            <w:r w:rsidR="009A1BAE">
              <w:t xml:space="preserve"> </w:t>
            </w:r>
            <w:r>
              <w:t>levels</w:t>
            </w:r>
            <w:r w:rsidR="009A1BAE">
              <w:t xml:space="preserve"> </w:t>
            </w:r>
            <w:r>
              <w:t>(explorers</w:t>
            </w:r>
            <w:r w:rsidR="009A1BAE">
              <w:t xml:space="preserve"> </w:t>
            </w:r>
            <w:r>
              <w:t>vs.</w:t>
            </w:r>
            <w:r w:rsidR="009A1BAE">
              <w:t xml:space="preserve"> </w:t>
            </w:r>
            <w:r>
              <w:t>experts),</w:t>
            </w:r>
            <w:r w:rsidR="009A1BAE">
              <w:t xml:space="preserve"> </w:t>
            </w:r>
            <w:r>
              <w:t>and</w:t>
            </w:r>
            <w:r w:rsidR="009A1BAE">
              <w:t xml:space="preserve"> </w:t>
            </w:r>
            <w:r>
              <w:t>feature</w:t>
            </w:r>
            <w:r w:rsidR="009A1BAE">
              <w:t xml:space="preserve"> </w:t>
            </w:r>
            <w:r>
              <w:t>new</w:t>
            </w:r>
            <w:r w:rsidR="009A1BAE">
              <w:t xml:space="preserve"> </w:t>
            </w:r>
            <w:r>
              <w:t>experiences</w:t>
            </w:r>
            <w:r w:rsidR="009A1BAE">
              <w:t xml:space="preserve"> </w:t>
            </w:r>
            <w:r>
              <w:t>and</w:t>
            </w:r>
            <w:r w:rsidR="009A1BAE">
              <w:t xml:space="preserve"> </w:t>
            </w:r>
            <w:r>
              <w:t>activities</w:t>
            </w:r>
            <w:r w:rsidR="009A1BAE">
              <w:t xml:space="preserve"> </w:t>
            </w:r>
            <w:r>
              <w:t>that</w:t>
            </w:r>
            <w:r w:rsidR="009A1BAE">
              <w:t xml:space="preserve"> </w:t>
            </w:r>
            <w:r>
              <w:t>are</w:t>
            </w:r>
            <w:r w:rsidR="009A1BAE">
              <w:t xml:space="preserve"> </w:t>
            </w:r>
            <w:r>
              <w:t>not</w:t>
            </w:r>
            <w:r w:rsidR="009A1BAE">
              <w:t xml:space="preserve"> </w:t>
            </w:r>
            <w:r>
              <w:t>offered</w:t>
            </w:r>
            <w:r w:rsidR="009A1BAE">
              <w:t xml:space="preserve"> </w:t>
            </w:r>
            <w:r>
              <w:t>during</w:t>
            </w:r>
            <w:r w:rsidR="009A1BAE">
              <w:t xml:space="preserve"> </w:t>
            </w:r>
            <w:r>
              <w:t>the</w:t>
            </w:r>
            <w:r w:rsidR="009A1BAE">
              <w:t xml:space="preserve"> </w:t>
            </w:r>
            <w:r>
              <w:t>school</w:t>
            </w:r>
            <w:r w:rsidR="009A1BAE">
              <w:t xml:space="preserve"> </w:t>
            </w:r>
            <w:r>
              <w:t>year</w:t>
            </w:r>
            <w:r w:rsidR="009A1BAE">
              <w:t xml:space="preserve"> </w:t>
            </w:r>
          </w:p>
        </w:tc>
        <w:tc>
          <w:tcPr>
            <w:tcW w:w="3510" w:type="dxa"/>
          </w:tcPr>
          <w:p w14:paraId="4B55440A" w14:textId="77777777" w:rsidR="00E02C6C" w:rsidRDefault="00E02C6C"/>
        </w:tc>
      </w:tr>
      <w:tr w:rsidR="00E02C6C" w14:paraId="03357BE8" w14:textId="77777777" w:rsidTr="00530C8A">
        <w:tc>
          <w:tcPr>
            <w:tcW w:w="4826" w:type="dxa"/>
          </w:tcPr>
          <w:p w14:paraId="24A53565" w14:textId="05088CD7" w:rsidR="00E02C6C" w:rsidRDefault="00233C0F">
            <w:r>
              <w:t>Activities</w:t>
            </w:r>
            <w:r w:rsidR="009A1BAE">
              <w:t xml:space="preserve"> </w:t>
            </w:r>
            <w:r>
              <w:t>promote</w:t>
            </w:r>
            <w:r w:rsidR="009A1BAE">
              <w:t xml:space="preserve"> </w:t>
            </w:r>
            <w:r>
              <w:t>cooperative</w:t>
            </w:r>
            <w:r w:rsidR="009A1BAE">
              <w:t xml:space="preserve"> </w:t>
            </w:r>
            <w:r>
              <w:t>learning,</w:t>
            </w:r>
            <w:r w:rsidR="009A1BAE">
              <w:t xml:space="preserve"> </w:t>
            </w:r>
            <w:r>
              <w:t>develop</w:t>
            </w:r>
            <w:r w:rsidR="009A1BAE">
              <w:t xml:space="preserve"> </w:t>
            </w:r>
            <w:r>
              <w:t>peer</w:t>
            </w:r>
            <w:r w:rsidR="009A1BAE">
              <w:t xml:space="preserve"> </w:t>
            </w:r>
            <w:r>
              <w:t>relationships</w:t>
            </w:r>
            <w:r w:rsidR="009A1BAE">
              <w:t xml:space="preserve"> </w:t>
            </w:r>
            <w:r>
              <w:t>and</w:t>
            </w:r>
            <w:r w:rsidR="009A1BAE">
              <w:t xml:space="preserve"> </w:t>
            </w:r>
            <w:r>
              <w:t>support</w:t>
            </w:r>
            <w:r w:rsidR="009A1BAE">
              <w:t xml:space="preserve"> </w:t>
            </w:r>
            <w:r>
              <w:t>social-emotional</w:t>
            </w:r>
            <w:r w:rsidR="009A1BAE">
              <w:t xml:space="preserve"> </w:t>
            </w:r>
            <w:r>
              <w:t>wellness</w:t>
            </w:r>
            <w:r w:rsidR="009A1BAE">
              <w:t xml:space="preserve"> </w:t>
            </w:r>
          </w:p>
        </w:tc>
        <w:tc>
          <w:tcPr>
            <w:tcW w:w="6154" w:type="dxa"/>
          </w:tcPr>
          <w:p w14:paraId="70FE2AA5" w14:textId="680FB896" w:rsidR="00E02C6C" w:rsidRDefault="00233C0F">
            <w:r>
              <w:t>Devote</w:t>
            </w:r>
            <w:r w:rsidR="009A1BAE">
              <w:t xml:space="preserve"> </w:t>
            </w:r>
            <w:r>
              <w:t>time</w:t>
            </w:r>
            <w:r w:rsidR="009A1BAE">
              <w:t xml:space="preserve"> </w:t>
            </w:r>
            <w:r>
              <w:t>and</w:t>
            </w:r>
            <w:r w:rsidR="009A1BAE">
              <w:t xml:space="preserve"> </w:t>
            </w:r>
            <w:r>
              <w:t>activities</w:t>
            </w:r>
            <w:r w:rsidR="009A1BAE">
              <w:t xml:space="preserve"> </w:t>
            </w:r>
            <w:r>
              <w:t>to</w:t>
            </w:r>
            <w:r w:rsidR="009A1BAE">
              <w:t xml:space="preserve"> </w:t>
            </w:r>
            <w:r>
              <w:t>developing</w:t>
            </w:r>
            <w:r w:rsidR="009A1BAE">
              <w:t xml:space="preserve"> </w:t>
            </w:r>
            <w:r>
              <w:t>social</w:t>
            </w:r>
            <w:r w:rsidR="009A1BAE">
              <w:t xml:space="preserve"> </w:t>
            </w:r>
            <w:r>
              <w:t>skills,</w:t>
            </w:r>
            <w:r w:rsidR="009A1BAE">
              <w:t xml:space="preserve"> </w:t>
            </w:r>
            <w:r>
              <w:t>encouraging</w:t>
            </w:r>
            <w:r w:rsidR="009A1BAE">
              <w:t xml:space="preserve"> </w:t>
            </w:r>
            <w:r>
              <w:t>group</w:t>
            </w:r>
            <w:r w:rsidR="009A1BAE">
              <w:t xml:space="preserve"> </w:t>
            </w:r>
            <w:r>
              <w:t>work</w:t>
            </w:r>
            <w:r w:rsidR="009A1BAE">
              <w:t xml:space="preserve"> </w:t>
            </w:r>
            <w:r>
              <w:t>and</w:t>
            </w:r>
            <w:r w:rsidR="009A1BAE">
              <w:t xml:space="preserve"> </w:t>
            </w:r>
            <w:r>
              <w:t>communication</w:t>
            </w:r>
            <w:r w:rsidR="009A1BAE">
              <w:t xml:space="preserve"> </w:t>
            </w:r>
            <w:r>
              <w:t>in</w:t>
            </w:r>
            <w:r w:rsidR="009A1BAE">
              <w:t xml:space="preserve"> </w:t>
            </w:r>
            <w:r>
              <w:t>supportive</w:t>
            </w:r>
            <w:r w:rsidR="009A1BAE">
              <w:t xml:space="preserve"> </w:t>
            </w:r>
            <w:r>
              <w:t>contexts</w:t>
            </w:r>
          </w:p>
        </w:tc>
        <w:tc>
          <w:tcPr>
            <w:tcW w:w="3510" w:type="dxa"/>
          </w:tcPr>
          <w:p w14:paraId="61B6FCAB" w14:textId="77777777" w:rsidR="00E02C6C" w:rsidRDefault="00E02C6C"/>
        </w:tc>
      </w:tr>
      <w:tr w:rsidR="00E02C6C" w14:paraId="4A0C2F34" w14:textId="77777777" w:rsidTr="00530C8A">
        <w:tc>
          <w:tcPr>
            <w:tcW w:w="4826" w:type="dxa"/>
          </w:tcPr>
          <w:p w14:paraId="5A958C3E" w14:textId="652CC668" w:rsidR="00E02C6C" w:rsidRDefault="009C0D18">
            <w:r>
              <w:t>Activities</w:t>
            </w:r>
            <w:r w:rsidR="009A1BAE">
              <w:t xml:space="preserve"> </w:t>
            </w:r>
            <w:r>
              <w:t>incorporate</w:t>
            </w:r>
            <w:r w:rsidR="009A1BAE">
              <w:t xml:space="preserve"> </w:t>
            </w:r>
            <w:r>
              <w:t>field</w:t>
            </w:r>
            <w:r w:rsidR="009A1BAE">
              <w:t xml:space="preserve"> </w:t>
            </w:r>
            <w:r>
              <w:t>trips,</w:t>
            </w:r>
            <w:r w:rsidR="009A1BAE">
              <w:t xml:space="preserve"> </w:t>
            </w:r>
            <w:r>
              <w:t>community</w:t>
            </w:r>
            <w:r w:rsidR="009A1BAE">
              <w:t xml:space="preserve"> </w:t>
            </w:r>
            <w:r>
              <w:t>partners</w:t>
            </w:r>
            <w:r w:rsidR="009A1BAE">
              <w:t xml:space="preserve"> </w:t>
            </w:r>
            <w:r>
              <w:t>and</w:t>
            </w:r>
            <w:r w:rsidR="009A1BAE">
              <w:t xml:space="preserve"> </w:t>
            </w:r>
            <w:r>
              <w:t>go</w:t>
            </w:r>
            <w:r w:rsidR="009A1BAE">
              <w:t xml:space="preserve"> </w:t>
            </w:r>
            <w:r>
              <w:t>beyond</w:t>
            </w:r>
            <w:r w:rsidR="009A1BAE">
              <w:t xml:space="preserve"> </w:t>
            </w:r>
            <w:r>
              <w:t>traditional</w:t>
            </w:r>
            <w:r w:rsidR="009A1BAE">
              <w:t xml:space="preserve"> </w:t>
            </w:r>
            <w:r>
              <w:t>classroom</w:t>
            </w:r>
            <w:r w:rsidR="009A1BAE">
              <w:t xml:space="preserve"> </w:t>
            </w:r>
            <w:r>
              <w:t>experiences</w:t>
            </w:r>
          </w:p>
        </w:tc>
        <w:tc>
          <w:tcPr>
            <w:tcW w:w="6154" w:type="dxa"/>
          </w:tcPr>
          <w:p w14:paraId="363215B8" w14:textId="7F0A110F" w:rsidR="00E02C6C" w:rsidRDefault="009C0D18">
            <w:r>
              <w:t>Leverage</w:t>
            </w:r>
            <w:r w:rsidR="009A1BAE">
              <w:t xml:space="preserve"> </w:t>
            </w:r>
            <w:r>
              <w:t>community</w:t>
            </w:r>
            <w:r w:rsidR="009A1BAE">
              <w:t xml:space="preserve"> </w:t>
            </w:r>
            <w:r>
              <w:t>partners</w:t>
            </w:r>
            <w:r w:rsidR="009A1BAE">
              <w:t xml:space="preserve"> </w:t>
            </w:r>
            <w:r>
              <w:t>and</w:t>
            </w:r>
            <w:r w:rsidR="009A1BAE">
              <w:t xml:space="preserve"> </w:t>
            </w:r>
            <w:r>
              <w:t>organizations</w:t>
            </w:r>
            <w:r w:rsidR="009A1BAE">
              <w:t xml:space="preserve"> </w:t>
            </w:r>
            <w:r>
              <w:t>(local</w:t>
            </w:r>
            <w:r w:rsidR="009A1BAE">
              <w:t xml:space="preserve"> </w:t>
            </w:r>
            <w:r>
              <w:t>theater,</w:t>
            </w:r>
            <w:r w:rsidR="009A1BAE">
              <w:t xml:space="preserve"> </w:t>
            </w:r>
            <w:r w:rsidR="004423F9">
              <w:t>CrossFit</w:t>
            </w:r>
            <w:r w:rsidR="009A1BAE">
              <w:t xml:space="preserve"> </w:t>
            </w:r>
            <w:r>
              <w:t>club,</w:t>
            </w:r>
            <w:r w:rsidR="009A1BAE">
              <w:t xml:space="preserve"> </w:t>
            </w:r>
            <w:r>
              <w:t>etc.)</w:t>
            </w:r>
            <w:r w:rsidR="009A1BAE">
              <w:t xml:space="preserve"> </w:t>
            </w:r>
            <w:r>
              <w:t>to</w:t>
            </w:r>
            <w:r w:rsidR="009A1BAE">
              <w:t xml:space="preserve"> </w:t>
            </w:r>
            <w:r>
              <w:t>bring</w:t>
            </w:r>
            <w:r w:rsidR="009A1BAE">
              <w:t xml:space="preserve"> </w:t>
            </w:r>
            <w:r>
              <w:t>new</w:t>
            </w:r>
            <w:r w:rsidR="009A1BAE">
              <w:t xml:space="preserve"> </w:t>
            </w:r>
            <w:r>
              <w:t>and</w:t>
            </w:r>
            <w:r w:rsidR="009A1BAE">
              <w:t xml:space="preserve"> </w:t>
            </w:r>
            <w:r>
              <w:t>engaging</w:t>
            </w:r>
            <w:r w:rsidR="009A1BAE">
              <w:t xml:space="preserve"> </w:t>
            </w:r>
            <w:r>
              <w:t>experiences</w:t>
            </w:r>
            <w:r w:rsidR="009A1BAE">
              <w:t xml:space="preserve"> </w:t>
            </w:r>
            <w:r>
              <w:t>to</w:t>
            </w:r>
            <w:r w:rsidR="009A1BAE">
              <w:t xml:space="preserve"> </w:t>
            </w:r>
            <w:r>
              <w:t>students</w:t>
            </w:r>
          </w:p>
        </w:tc>
        <w:tc>
          <w:tcPr>
            <w:tcW w:w="3510" w:type="dxa"/>
          </w:tcPr>
          <w:p w14:paraId="3A77FC9A" w14:textId="77777777" w:rsidR="00E02C6C" w:rsidRDefault="00E02C6C"/>
        </w:tc>
      </w:tr>
      <w:tr w:rsidR="009C0D18" w14:paraId="14E2AF0E" w14:textId="77777777" w:rsidTr="00530C8A">
        <w:tc>
          <w:tcPr>
            <w:tcW w:w="4826" w:type="dxa"/>
          </w:tcPr>
          <w:p w14:paraId="02B9EE3A" w14:textId="49E5D95B" w:rsidR="009C0D18" w:rsidRDefault="009C0D18">
            <w:r>
              <w:t>Activities</w:t>
            </w:r>
            <w:r w:rsidR="009A1BAE">
              <w:t xml:space="preserve"> </w:t>
            </w:r>
            <w:r>
              <w:t>include</w:t>
            </w:r>
            <w:r w:rsidR="009A1BAE">
              <w:t xml:space="preserve"> </w:t>
            </w:r>
            <w:r>
              <w:t>at</w:t>
            </w:r>
            <w:r w:rsidR="009A1BAE">
              <w:t xml:space="preserve"> </w:t>
            </w:r>
            <w:r>
              <w:t>least</w:t>
            </w:r>
            <w:r w:rsidR="009A1BAE">
              <w:t xml:space="preserve"> </w:t>
            </w:r>
            <w:r>
              <w:t>30</w:t>
            </w:r>
            <w:r w:rsidR="009A1BAE">
              <w:t xml:space="preserve"> </w:t>
            </w:r>
            <w:r>
              <w:t>minutes</w:t>
            </w:r>
            <w:r w:rsidR="009A1BAE">
              <w:t xml:space="preserve"> </w:t>
            </w:r>
            <w:r>
              <w:t>of</w:t>
            </w:r>
            <w:r w:rsidR="009A1BAE">
              <w:t xml:space="preserve"> </w:t>
            </w:r>
            <w:r>
              <w:t>physical</w:t>
            </w:r>
            <w:r w:rsidR="009A1BAE">
              <w:t xml:space="preserve"> </w:t>
            </w:r>
            <w:r>
              <w:t>activity</w:t>
            </w:r>
            <w:r w:rsidR="009A1BAE">
              <w:t xml:space="preserve"> </w:t>
            </w:r>
            <w:r>
              <w:t>for</w:t>
            </w:r>
            <w:r w:rsidR="009A1BAE">
              <w:t xml:space="preserve"> </w:t>
            </w:r>
            <w:r>
              <w:t>every</w:t>
            </w:r>
            <w:r w:rsidR="009A1BAE">
              <w:t xml:space="preserve"> </w:t>
            </w:r>
            <w:r>
              <w:t>3</w:t>
            </w:r>
            <w:r w:rsidR="009A1BAE">
              <w:t xml:space="preserve"> </w:t>
            </w:r>
            <w:r>
              <w:t>hours</w:t>
            </w:r>
          </w:p>
        </w:tc>
        <w:tc>
          <w:tcPr>
            <w:tcW w:w="6154" w:type="dxa"/>
          </w:tcPr>
          <w:p w14:paraId="31F4E08B" w14:textId="1D067A89" w:rsidR="00875A65" w:rsidRDefault="009C0D18">
            <w:r>
              <w:t>Incorporate</w:t>
            </w:r>
            <w:r w:rsidR="009A1BAE">
              <w:t xml:space="preserve"> </w:t>
            </w:r>
            <w:r>
              <w:t>natural</w:t>
            </w:r>
            <w:r w:rsidR="009A1BAE">
              <w:t xml:space="preserve"> </w:t>
            </w:r>
            <w:r>
              <w:t>interdisciplinary</w:t>
            </w:r>
            <w:r w:rsidR="009A1BAE">
              <w:t xml:space="preserve"> </w:t>
            </w:r>
            <w:r>
              <w:t>connections</w:t>
            </w:r>
            <w:r w:rsidR="009A1BAE">
              <w:t xml:space="preserve"> </w:t>
            </w:r>
            <w:r>
              <w:t>that</w:t>
            </w:r>
            <w:r w:rsidR="009A1BAE">
              <w:t xml:space="preserve"> </w:t>
            </w:r>
            <w:r>
              <w:t>feature</w:t>
            </w:r>
            <w:r w:rsidR="009A1BAE">
              <w:t xml:space="preserve"> </w:t>
            </w:r>
            <w:r>
              <w:t>physical</w:t>
            </w:r>
            <w:r w:rsidR="009A1BAE">
              <w:t xml:space="preserve"> </w:t>
            </w:r>
            <w:r>
              <w:t>activity</w:t>
            </w:r>
            <w:r w:rsidR="009A1BAE">
              <w:t xml:space="preserve"> </w:t>
            </w:r>
            <w:r>
              <w:t>(</w:t>
            </w:r>
            <w:r w:rsidR="003D421B">
              <w:t>e.g.</w:t>
            </w:r>
            <w:r w:rsidR="009A1BAE">
              <w:t xml:space="preserve"> </w:t>
            </w:r>
            <w:r>
              <w:t>world</w:t>
            </w:r>
            <w:r w:rsidR="009A1BAE">
              <w:t xml:space="preserve"> </w:t>
            </w:r>
            <w:r>
              <w:t>languages</w:t>
            </w:r>
            <w:r w:rsidR="009A1BAE">
              <w:t xml:space="preserve"> </w:t>
            </w:r>
            <w:r>
              <w:t>feature</w:t>
            </w:r>
            <w:r w:rsidR="009A1BAE">
              <w:t xml:space="preserve"> </w:t>
            </w:r>
            <w:r>
              <w:t>dance</w:t>
            </w:r>
            <w:r w:rsidR="009A1BAE">
              <w:t xml:space="preserve"> </w:t>
            </w:r>
            <w:r>
              <w:t>or</w:t>
            </w:r>
            <w:r w:rsidR="009A1BAE">
              <w:t xml:space="preserve"> </w:t>
            </w:r>
            <w:r>
              <w:t>sports</w:t>
            </w:r>
            <w:r w:rsidR="009A1BAE">
              <w:t xml:space="preserve"> </w:t>
            </w:r>
            <w:r>
              <w:t>from</w:t>
            </w:r>
            <w:r w:rsidR="009A1BAE">
              <w:t xml:space="preserve"> </w:t>
            </w:r>
            <w:r>
              <w:t>the</w:t>
            </w:r>
            <w:r w:rsidR="009A1BAE">
              <w:t xml:space="preserve"> </w:t>
            </w:r>
            <w:r>
              <w:t>target</w:t>
            </w:r>
            <w:r w:rsidR="009A1BAE">
              <w:t xml:space="preserve"> </w:t>
            </w:r>
            <w:r>
              <w:t>culture)</w:t>
            </w:r>
            <w:r w:rsidR="009A1BAE">
              <w:t xml:space="preserve"> </w:t>
            </w:r>
          </w:p>
        </w:tc>
        <w:tc>
          <w:tcPr>
            <w:tcW w:w="3510" w:type="dxa"/>
          </w:tcPr>
          <w:p w14:paraId="1A56F431" w14:textId="77777777" w:rsidR="009C0D18" w:rsidRDefault="009C0D18"/>
        </w:tc>
      </w:tr>
    </w:tbl>
    <w:p w14:paraId="3901365E" w14:textId="77777777" w:rsidR="00530C8A" w:rsidRDefault="00530C8A">
      <w:pPr>
        <w:rPr>
          <w:b/>
          <w:bCs/>
          <w:sz w:val="28"/>
          <w:szCs w:val="28"/>
        </w:rPr>
      </w:pPr>
      <w:r>
        <w:rPr>
          <w:b/>
          <w:bCs/>
          <w:sz w:val="28"/>
          <w:szCs w:val="28"/>
        </w:rPr>
        <w:br w:type="page"/>
      </w:r>
    </w:p>
    <w:p w14:paraId="7E8F8332" w14:textId="77777777" w:rsidR="00530C8A" w:rsidRPr="009C0D18" w:rsidRDefault="00530C8A" w:rsidP="00530C8A">
      <w:pPr>
        <w:pStyle w:val="Heading2"/>
      </w:pPr>
      <w:r w:rsidRPr="009C0D18">
        <w:lastRenderedPageBreak/>
        <w:t>III.</w:t>
      </w:r>
      <w:r>
        <w:t xml:space="preserve"> </w:t>
      </w:r>
      <w:r w:rsidRPr="009C0D18">
        <w:t>Implementation</w:t>
      </w:r>
      <w:r>
        <w:t xml:space="preserve"> </w:t>
      </w:r>
      <w:r w:rsidRPr="009C0D18">
        <w:t>of</w:t>
      </w:r>
      <w:r>
        <w:t xml:space="preserve"> </w:t>
      </w:r>
      <w:r w:rsidRPr="009C0D18">
        <w:t>Activities</w:t>
      </w:r>
      <w:r>
        <w:t xml:space="preserve"> </w:t>
      </w:r>
      <w:r w:rsidRPr="009C0D18">
        <w:t>Included</w:t>
      </w:r>
      <w:r>
        <w:t xml:space="preserve"> </w:t>
      </w:r>
      <w:r w:rsidRPr="009C0D18">
        <w:t>within</w:t>
      </w:r>
      <w:r>
        <w:t xml:space="preserve"> </w:t>
      </w:r>
      <w:r w:rsidRPr="009C0D18">
        <w:t>the</w:t>
      </w:r>
      <w:r>
        <w:t xml:space="preserve"> </w:t>
      </w:r>
      <w:r w:rsidRPr="009C0D18">
        <w:t>Curriculum</w:t>
      </w:r>
    </w:p>
    <w:p w14:paraId="020CB3D9" w14:textId="7E884C15" w:rsidR="00530C8A" w:rsidRDefault="00530C8A">
      <w:r w:rsidRPr="00530C8A">
        <w:rPr>
          <w:rStyle w:val="Emphasis"/>
          <w:i w:val="0"/>
          <w:iCs w:val="0"/>
        </w:rPr>
        <w:t>Summer learning curricula should offer guidance and coaching to instructors for effective implementation</w:t>
      </w:r>
      <w:r>
        <w:rPr>
          <w:rStyle w:val="Emphasis"/>
          <w:i w:val="0"/>
          <w:iCs w:val="0"/>
        </w:rPr>
        <w:t>.</w:t>
      </w:r>
    </w:p>
    <w:tbl>
      <w:tblPr>
        <w:tblStyle w:val="TableGrid"/>
        <w:tblW w:w="14490" w:type="dxa"/>
        <w:tblInd w:w="-5" w:type="dxa"/>
        <w:tblCellMar>
          <w:top w:w="86" w:type="dxa"/>
          <w:left w:w="115" w:type="dxa"/>
          <w:bottom w:w="144" w:type="dxa"/>
          <w:right w:w="115" w:type="dxa"/>
        </w:tblCellMar>
        <w:tblLook w:val="04A0" w:firstRow="1" w:lastRow="0" w:firstColumn="1" w:lastColumn="0" w:noHBand="0" w:noVBand="1"/>
      </w:tblPr>
      <w:tblGrid>
        <w:gridCol w:w="4826"/>
        <w:gridCol w:w="6154"/>
        <w:gridCol w:w="3510"/>
      </w:tblGrid>
      <w:tr w:rsidR="00530C8A" w14:paraId="79367423" w14:textId="77777777" w:rsidTr="001B2D03">
        <w:trPr>
          <w:tblHeader/>
        </w:trPr>
        <w:tc>
          <w:tcPr>
            <w:tcW w:w="4826" w:type="dxa"/>
            <w:tcBorders>
              <w:right w:val="single" w:sz="4" w:space="0" w:color="FFFFFF" w:themeColor="background1"/>
            </w:tcBorders>
            <w:shd w:val="clear" w:color="auto" w:fill="1F3864" w:themeFill="accent1" w:themeFillShade="80"/>
          </w:tcPr>
          <w:p w14:paraId="1A6737C0" w14:textId="77777777" w:rsidR="00530C8A" w:rsidRPr="00530C8A" w:rsidRDefault="00530C8A" w:rsidP="00D85E11">
            <w:pPr>
              <w:jc w:val="center"/>
              <w:rPr>
                <w:rStyle w:val="Strong"/>
                <w:sz w:val="24"/>
                <w:szCs w:val="24"/>
              </w:rPr>
            </w:pPr>
            <w:r w:rsidRPr="00530C8A">
              <w:rPr>
                <w:rStyle w:val="Strong"/>
                <w:sz w:val="24"/>
                <w:szCs w:val="24"/>
              </w:rPr>
              <w:t>Indicator</w:t>
            </w:r>
          </w:p>
        </w:tc>
        <w:tc>
          <w:tcPr>
            <w:tcW w:w="6154" w:type="dxa"/>
            <w:tcBorders>
              <w:left w:val="single" w:sz="4" w:space="0" w:color="FFFFFF" w:themeColor="background1"/>
              <w:right w:val="single" w:sz="4" w:space="0" w:color="FFFFFF" w:themeColor="background1"/>
            </w:tcBorders>
            <w:shd w:val="clear" w:color="auto" w:fill="1F3864" w:themeFill="accent1" w:themeFillShade="80"/>
          </w:tcPr>
          <w:p w14:paraId="04D284DD" w14:textId="77777777" w:rsidR="00530C8A" w:rsidRPr="00530C8A" w:rsidRDefault="00530C8A" w:rsidP="00D85E11">
            <w:pPr>
              <w:jc w:val="center"/>
              <w:rPr>
                <w:rStyle w:val="Strong"/>
                <w:sz w:val="24"/>
                <w:szCs w:val="24"/>
              </w:rPr>
            </w:pPr>
            <w:r w:rsidRPr="00530C8A">
              <w:rPr>
                <w:rStyle w:val="Strong"/>
                <w:sz w:val="24"/>
                <w:szCs w:val="24"/>
              </w:rPr>
              <w:t>Example</w:t>
            </w:r>
          </w:p>
        </w:tc>
        <w:tc>
          <w:tcPr>
            <w:tcW w:w="3510" w:type="dxa"/>
            <w:tcBorders>
              <w:left w:val="single" w:sz="4" w:space="0" w:color="FFFFFF" w:themeColor="background1"/>
            </w:tcBorders>
            <w:shd w:val="clear" w:color="auto" w:fill="1F3864" w:themeFill="accent1" w:themeFillShade="80"/>
          </w:tcPr>
          <w:p w14:paraId="1B3FCA09" w14:textId="77777777" w:rsidR="00530C8A" w:rsidRPr="00530C8A" w:rsidRDefault="00530C8A" w:rsidP="00D85E11">
            <w:pPr>
              <w:jc w:val="center"/>
              <w:rPr>
                <w:rStyle w:val="Strong"/>
                <w:sz w:val="24"/>
                <w:szCs w:val="24"/>
              </w:rPr>
            </w:pPr>
            <w:r w:rsidRPr="00530C8A">
              <w:rPr>
                <w:rStyle w:val="Strong"/>
                <w:sz w:val="24"/>
                <w:szCs w:val="24"/>
              </w:rPr>
              <w:t>Notes</w:t>
            </w:r>
          </w:p>
        </w:tc>
      </w:tr>
      <w:tr w:rsidR="00530C8A" w14:paraId="557CF7FB" w14:textId="77777777" w:rsidTr="001B2D03">
        <w:tc>
          <w:tcPr>
            <w:tcW w:w="4826" w:type="dxa"/>
          </w:tcPr>
          <w:p w14:paraId="39125DBF" w14:textId="7FE94193" w:rsidR="00530C8A" w:rsidRDefault="00530C8A" w:rsidP="00D85E11">
            <w:r>
              <w:t>Curriculum outlines necessary staff expertise for specific lessons and activities, but recognizes expertise outside a K</w:t>
            </w:r>
            <w:r>
              <w:t>–</w:t>
            </w:r>
            <w:r>
              <w:t xml:space="preserve">12 instructional license </w:t>
            </w:r>
          </w:p>
        </w:tc>
        <w:tc>
          <w:tcPr>
            <w:tcW w:w="6154" w:type="dxa"/>
          </w:tcPr>
          <w:p w14:paraId="10A34C1F" w14:textId="77777777" w:rsidR="00530C8A" w:rsidRDefault="00530C8A" w:rsidP="00D85E11">
            <w:r>
              <w:t>Diverse skills and talents of staff should be highlighted in the design and implementation of programs (culinary expertise, coaching experiences, etc.). Pairing and grouping staff is ideal to leverage and celebrate talents outside of certification</w:t>
            </w:r>
          </w:p>
        </w:tc>
        <w:tc>
          <w:tcPr>
            <w:tcW w:w="3510" w:type="dxa"/>
          </w:tcPr>
          <w:p w14:paraId="63ABEBAB" w14:textId="77777777" w:rsidR="00530C8A" w:rsidRDefault="00530C8A" w:rsidP="00D85E11"/>
        </w:tc>
      </w:tr>
      <w:tr w:rsidR="00530C8A" w14:paraId="0868B44D" w14:textId="77777777" w:rsidTr="001B2D03">
        <w:tc>
          <w:tcPr>
            <w:tcW w:w="4826" w:type="dxa"/>
          </w:tcPr>
          <w:p w14:paraId="36423180" w14:textId="77777777" w:rsidR="00530C8A" w:rsidRDefault="00530C8A" w:rsidP="00D85E11">
            <w:r>
              <w:t>Curriculum clearly includes and lists the resources, materials and steps required for each experience for preparation and implementation</w:t>
            </w:r>
          </w:p>
        </w:tc>
        <w:tc>
          <w:tcPr>
            <w:tcW w:w="6154" w:type="dxa"/>
          </w:tcPr>
          <w:p w14:paraId="2471C2C2" w14:textId="77777777" w:rsidR="00530C8A" w:rsidRDefault="00530C8A" w:rsidP="00D85E11">
            <w:r>
              <w:t>Create kits or bins that keep needed materials together for each activity or experience; prepare the kits in advance of the week and inventory consumables and loss to maintain from week to week</w:t>
            </w:r>
          </w:p>
        </w:tc>
        <w:tc>
          <w:tcPr>
            <w:tcW w:w="3510" w:type="dxa"/>
          </w:tcPr>
          <w:p w14:paraId="3B495C5A" w14:textId="77777777" w:rsidR="00530C8A" w:rsidRDefault="00530C8A" w:rsidP="00D85E11"/>
        </w:tc>
      </w:tr>
      <w:tr w:rsidR="00530C8A" w14:paraId="26606770" w14:textId="77777777" w:rsidTr="001B2D03">
        <w:tc>
          <w:tcPr>
            <w:tcW w:w="4826" w:type="dxa"/>
          </w:tcPr>
          <w:p w14:paraId="33D9AC04" w14:textId="77777777" w:rsidR="00530C8A" w:rsidRDefault="00530C8A" w:rsidP="00D85E11">
            <w:r>
              <w:t>Curriculum offers lesson plans with time frames for a realistic sense of pacing</w:t>
            </w:r>
          </w:p>
        </w:tc>
        <w:tc>
          <w:tcPr>
            <w:tcW w:w="6154" w:type="dxa"/>
          </w:tcPr>
          <w:p w14:paraId="40A8D837" w14:textId="77777777" w:rsidR="00530C8A" w:rsidRDefault="00530C8A" w:rsidP="00D85E11">
            <w:r>
              <w:t xml:space="preserve">Hourly schedules and transition times from activity to activity are included </w:t>
            </w:r>
          </w:p>
        </w:tc>
        <w:tc>
          <w:tcPr>
            <w:tcW w:w="3510" w:type="dxa"/>
          </w:tcPr>
          <w:p w14:paraId="287B89C1" w14:textId="77777777" w:rsidR="00530C8A" w:rsidRDefault="00530C8A" w:rsidP="00D85E11"/>
        </w:tc>
      </w:tr>
      <w:tr w:rsidR="00530C8A" w14:paraId="3FBF2726" w14:textId="77777777" w:rsidTr="001B2D03">
        <w:tc>
          <w:tcPr>
            <w:tcW w:w="4826" w:type="dxa"/>
          </w:tcPr>
          <w:p w14:paraId="5B6D019D" w14:textId="77777777" w:rsidR="00530C8A" w:rsidRDefault="00530C8A" w:rsidP="00D85E11">
            <w:r>
              <w:t>Curriculum includes important tips for instructors, including common student misconceptions or frustrations, strategies to support or encourage participation and communication, and facilitation hints</w:t>
            </w:r>
          </w:p>
        </w:tc>
        <w:tc>
          <w:tcPr>
            <w:tcW w:w="6154" w:type="dxa"/>
          </w:tcPr>
          <w:p w14:paraId="7FE3BA46" w14:textId="77777777" w:rsidR="00530C8A" w:rsidRDefault="00530C8A" w:rsidP="00D85E11">
            <w:r>
              <w:t>A generic guide for facilitating summer learning experiences can be provided to all instructors so strategies and tips are readily available; the guide can also encourage instructors to engage in more organic and informal interactions than traditional classrooms may provide</w:t>
            </w:r>
          </w:p>
        </w:tc>
        <w:tc>
          <w:tcPr>
            <w:tcW w:w="3510" w:type="dxa"/>
          </w:tcPr>
          <w:p w14:paraId="5E6E1241" w14:textId="77777777" w:rsidR="00530C8A" w:rsidRDefault="00530C8A" w:rsidP="00D85E11"/>
        </w:tc>
      </w:tr>
      <w:tr w:rsidR="00530C8A" w14:paraId="52143A72" w14:textId="77777777" w:rsidTr="001B2D03">
        <w:tc>
          <w:tcPr>
            <w:tcW w:w="4826" w:type="dxa"/>
          </w:tcPr>
          <w:p w14:paraId="234DA6FC" w14:textId="77777777" w:rsidR="00530C8A" w:rsidRDefault="00530C8A" w:rsidP="00D85E11">
            <w:r>
              <w:t>Curriculum includes multiple forms of assessments to measure student progress, but relies on more informal, formative assessments than traditional tests and quizzes</w:t>
            </w:r>
          </w:p>
        </w:tc>
        <w:tc>
          <w:tcPr>
            <w:tcW w:w="6154" w:type="dxa"/>
          </w:tcPr>
          <w:p w14:paraId="750BE4A4" w14:textId="77777777" w:rsidR="00530C8A" w:rsidRDefault="00530C8A" w:rsidP="00D85E11">
            <w:r>
              <w:t>Quick assessments of student learning objectives defined at the onset can ensure students are developing understandings as intended and interventions can occur as needed</w:t>
            </w:r>
          </w:p>
        </w:tc>
        <w:tc>
          <w:tcPr>
            <w:tcW w:w="3510" w:type="dxa"/>
          </w:tcPr>
          <w:p w14:paraId="644F5246" w14:textId="77777777" w:rsidR="00530C8A" w:rsidRDefault="00530C8A" w:rsidP="00D85E11"/>
        </w:tc>
      </w:tr>
      <w:tr w:rsidR="00530C8A" w14:paraId="3263C6E2" w14:textId="77777777" w:rsidTr="001B2D03">
        <w:tc>
          <w:tcPr>
            <w:tcW w:w="4826" w:type="dxa"/>
          </w:tcPr>
          <w:p w14:paraId="6D12FA48" w14:textId="77777777" w:rsidR="00530C8A" w:rsidRDefault="00530C8A" w:rsidP="00D85E11">
            <w:r>
              <w:t>Curriculum features student-centered and performance-based assessments</w:t>
            </w:r>
          </w:p>
        </w:tc>
        <w:tc>
          <w:tcPr>
            <w:tcW w:w="6154" w:type="dxa"/>
          </w:tcPr>
          <w:p w14:paraId="0C189851" w14:textId="77777777" w:rsidR="00530C8A" w:rsidRDefault="00530C8A" w:rsidP="00D85E11">
            <w:r>
              <w:t xml:space="preserve">Students can choose how they will demonstrate understanding and mastery of learning targets, selecting from videos, performances, products, etc. that can become a final showcase of students’ experiences </w:t>
            </w:r>
          </w:p>
        </w:tc>
        <w:tc>
          <w:tcPr>
            <w:tcW w:w="3510" w:type="dxa"/>
          </w:tcPr>
          <w:p w14:paraId="26980E27" w14:textId="77777777" w:rsidR="00530C8A" w:rsidRDefault="00530C8A" w:rsidP="00D85E11"/>
        </w:tc>
      </w:tr>
      <w:tr w:rsidR="00530C8A" w14:paraId="3716C7CC" w14:textId="77777777" w:rsidTr="001B2D03">
        <w:tc>
          <w:tcPr>
            <w:tcW w:w="4826" w:type="dxa"/>
          </w:tcPr>
          <w:p w14:paraId="38D1A857" w14:textId="77777777" w:rsidR="00530C8A" w:rsidRDefault="00530C8A" w:rsidP="00D85E11">
            <w:r>
              <w:t>Curriculum is both a living document that allows for flexibility, but can be adapted for future use</w:t>
            </w:r>
          </w:p>
        </w:tc>
        <w:tc>
          <w:tcPr>
            <w:tcW w:w="6154" w:type="dxa"/>
          </w:tcPr>
          <w:p w14:paraId="5E33DC15" w14:textId="0A6E004A" w:rsidR="00530C8A" w:rsidRDefault="00530C8A" w:rsidP="00D85E11">
            <w:r>
              <w:t xml:space="preserve">Instructors have opportunities to reflect on each week and recommend needed adjustments based on implementation; they can </w:t>
            </w:r>
            <w:r w:rsidR="00B52CF1">
              <w:t>revise the curriculum as needed</w:t>
            </w:r>
            <w:bookmarkStart w:id="0" w:name="_GoBack"/>
            <w:bookmarkEnd w:id="0"/>
          </w:p>
        </w:tc>
        <w:tc>
          <w:tcPr>
            <w:tcW w:w="3510" w:type="dxa"/>
          </w:tcPr>
          <w:p w14:paraId="068F009A" w14:textId="77777777" w:rsidR="00530C8A" w:rsidRDefault="00530C8A" w:rsidP="00D85E11"/>
        </w:tc>
      </w:tr>
      <w:tr w:rsidR="00530C8A" w14:paraId="28D38688" w14:textId="77777777" w:rsidTr="001B2D03">
        <w:tc>
          <w:tcPr>
            <w:tcW w:w="4826" w:type="dxa"/>
          </w:tcPr>
          <w:p w14:paraId="7FFBAB42" w14:textId="77777777" w:rsidR="00530C8A" w:rsidRDefault="00530C8A" w:rsidP="00D85E11">
            <w:r>
              <w:lastRenderedPageBreak/>
              <w:t>Curriculum and activities are sustainable with staffing and funding</w:t>
            </w:r>
          </w:p>
        </w:tc>
        <w:tc>
          <w:tcPr>
            <w:tcW w:w="6154" w:type="dxa"/>
          </w:tcPr>
          <w:p w14:paraId="74E5EE1F" w14:textId="77777777" w:rsidR="00530C8A" w:rsidRDefault="00530C8A" w:rsidP="00D85E11">
            <w:r>
              <w:t>Budgeting considerations are integrated within the curriculum guide; consumable materials, resources, salaries and other expenditures should be explicit so funding can be anticipated year to year</w:t>
            </w:r>
          </w:p>
        </w:tc>
        <w:tc>
          <w:tcPr>
            <w:tcW w:w="3510" w:type="dxa"/>
          </w:tcPr>
          <w:p w14:paraId="33ED11E0" w14:textId="77777777" w:rsidR="00530C8A" w:rsidRDefault="00530C8A" w:rsidP="00D85E11"/>
        </w:tc>
      </w:tr>
    </w:tbl>
    <w:p w14:paraId="75B5BBF4" w14:textId="77777777" w:rsidR="007F5DAC" w:rsidRPr="004423F9" w:rsidRDefault="007F5DAC" w:rsidP="004423F9">
      <w:pPr>
        <w:pStyle w:val="NoSpacing"/>
      </w:pPr>
    </w:p>
    <w:sectPr w:rsidR="007F5DAC" w:rsidRPr="004423F9" w:rsidSect="00530C8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F0270"/>
    <w:multiLevelType w:val="hybridMultilevel"/>
    <w:tmpl w:val="2C843812"/>
    <w:lvl w:ilvl="0" w:tplc="A7563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AC"/>
    <w:rsid w:val="0001695E"/>
    <w:rsid w:val="000432D4"/>
    <w:rsid w:val="000A32CE"/>
    <w:rsid w:val="00145484"/>
    <w:rsid w:val="001B2D03"/>
    <w:rsid w:val="001B5C65"/>
    <w:rsid w:val="00213785"/>
    <w:rsid w:val="00233C0F"/>
    <w:rsid w:val="002D4E38"/>
    <w:rsid w:val="002F681E"/>
    <w:rsid w:val="003B4AC8"/>
    <w:rsid w:val="003D421B"/>
    <w:rsid w:val="003F7CD2"/>
    <w:rsid w:val="004423F9"/>
    <w:rsid w:val="00530C8A"/>
    <w:rsid w:val="00587EF5"/>
    <w:rsid w:val="005D542B"/>
    <w:rsid w:val="00661141"/>
    <w:rsid w:val="007F1E95"/>
    <w:rsid w:val="007F5DAC"/>
    <w:rsid w:val="008537A4"/>
    <w:rsid w:val="00875A65"/>
    <w:rsid w:val="009223A3"/>
    <w:rsid w:val="00926D21"/>
    <w:rsid w:val="009617C9"/>
    <w:rsid w:val="009A1BAE"/>
    <w:rsid w:val="009C0D18"/>
    <w:rsid w:val="00A17C03"/>
    <w:rsid w:val="00B52CF1"/>
    <w:rsid w:val="00CB57B3"/>
    <w:rsid w:val="00D330A7"/>
    <w:rsid w:val="00DB31E8"/>
    <w:rsid w:val="00DF4815"/>
    <w:rsid w:val="00E02C6C"/>
    <w:rsid w:val="00E32FBD"/>
    <w:rsid w:val="00F969EA"/>
    <w:rsid w:val="00FD46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BEAD"/>
  <w15:chartTrackingRefBased/>
  <w15:docId w15:val="{9495C451-0A7F-4473-8ACD-96BACC6B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FBD"/>
  </w:style>
  <w:style w:type="paragraph" w:styleId="Heading1">
    <w:name w:val="heading 1"/>
    <w:basedOn w:val="Normal"/>
    <w:next w:val="Normal"/>
    <w:link w:val="Heading1Char"/>
    <w:uiPriority w:val="9"/>
    <w:qFormat/>
    <w:rsid w:val="009A1BAE"/>
    <w:pPr>
      <w:keepNext/>
      <w:keepLines/>
      <w:spacing w:after="240"/>
      <w:jc w:val="center"/>
      <w:outlineLvl w:val="0"/>
    </w:pPr>
    <w:rPr>
      <w:rFonts w:eastAsiaTheme="majorEastAsia" w:cstheme="majorBidi"/>
      <w:b/>
      <w:bCs/>
      <w:color w:val="1F3864" w:themeColor="accent1" w:themeShade="80"/>
      <w:sz w:val="32"/>
      <w:szCs w:val="32"/>
    </w:rPr>
  </w:style>
  <w:style w:type="paragraph" w:styleId="Heading2">
    <w:name w:val="heading 2"/>
    <w:basedOn w:val="Normal"/>
    <w:next w:val="Normal"/>
    <w:link w:val="Heading2Char"/>
    <w:uiPriority w:val="9"/>
    <w:unhideWhenUsed/>
    <w:qFormat/>
    <w:rsid w:val="00530C8A"/>
    <w:pPr>
      <w:pBdr>
        <w:top w:val="single" w:sz="4" w:space="6" w:color="D9E2F3" w:themeColor="accent1" w:themeTint="33"/>
        <w:left w:val="single" w:sz="4" w:space="4" w:color="D9E2F3" w:themeColor="accent1" w:themeTint="33"/>
        <w:bottom w:val="single" w:sz="4" w:space="6" w:color="D9E2F3" w:themeColor="accent1" w:themeTint="33"/>
        <w:right w:val="single" w:sz="4" w:space="4" w:color="D9E2F3" w:themeColor="accent1" w:themeTint="33"/>
      </w:pBdr>
      <w:shd w:val="clear" w:color="auto" w:fill="D9E2F3" w:themeFill="accent1" w:themeFillTint="33"/>
      <w:spacing w:after="1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DAC"/>
    <w:pPr>
      <w:ind w:left="720"/>
      <w:contextualSpacing/>
    </w:pPr>
  </w:style>
  <w:style w:type="character" w:customStyle="1" w:styleId="Heading1Char">
    <w:name w:val="Heading 1 Char"/>
    <w:basedOn w:val="DefaultParagraphFont"/>
    <w:link w:val="Heading1"/>
    <w:uiPriority w:val="9"/>
    <w:rsid w:val="009A1BAE"/>
    <w:rPr>
      <w:rFonts w:eastAsiaTheme="majorEastAsia" w:cstheme="majorBidi"/>
      <w:b/>
      <w:bCs/>
      <w:color w:val="1F3864" w:themeColor="accent1" w:themeShade="80"/>
      <w:sz w:val="32"/>
      <w:szCs w:val="32"/>
    </w:rPr>
  </w:style>
  <w:style w:type="paragraph" w:styleId="NoSpacing">
    <w:name w:val="No Spacing"/>
    <w:uiPriority w:val="1"/>
    <w:qFormat/>
    <w:rsid w:val="004423F9"/>
    <w:pPr>
      <w:spacing w:after="0" w:line="240" w:lineRule="auto"/>
    </w:pPr>
  </w:style>
  <w:style w:type="character" w:customStyle="1" w:styleId="Heading2Char">
    <w:name w:val="Heading 2 Char"/>
    <w:basedOn w:val="DefaultParagraphFont"/>
    <w:link w:val="Heading2"/>
    <w:uiPriority w:val="9"/>
    <w:rsid w:val="00530C8A"/>
    <w:rPr>
      <w:b/>
      <w:bCs/>
      <w:sz w:val="28"/>
      <w:szCs w:val="28"/>
      <w:shd w:val="clear" w:color="auto" w:fill="D9E2F3" w:themeFill="accent1" w:themeFillTint="33"/>
    </w:rPr>
  </w:style>
  <w:style w:type="character" w:styleId="Emphasis">
    <w:name w:val="Emphasis"/>
    <w:basedOn w:val="DefaultParagraphFont"/>
    <w:uiPriority w:val="20"/>
    <w:qFormat/>
    <w:rsid w:val="004423F9"/>
    <w:rPr>
      <w:i/>
      <w:iCs/>
    </w:rPr>
  </w:style>
  <w:style w:type="character" w:styleId="Strong">
    <w:name w:val="Strong"/>
    <w:basedOn w:val="DefaultParagraphFont"/>
    <w:uiPriority w:val="22"/>
    <w:qFormat/>
    <w:rsid w:val="00442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215989">
      <w:bodyDiv w:val="1"/>
      <w:marLeft w:val="0"/>
      <w:marRight w:val="0"/>
      <w:marTop w:val="0"/>
      <w:marBottom w:val="0"/>
      <w:divBdr>
        <w:top w:val="none" w:sz="0" w:space="0" w:color="auto"/>
        <w:left w:val="none" w:sz="0" w:space="0" w:color="auto"/>
        <w:bottom w:val="none" w:sz="0" w:space="0" w:color="auto"/>
        <w:right w:val="none" w:sz="0" w:space="0" w:color="auto"/>
      </w:divBdr>
      <w:divsChild>
        <w:div w:id="971254980">
          <w:marLeft w:val="0"/>
          <w:marRight w:val="0"/>
          <w:marTop w:val="0"/>
          <w:marBottom w:val="0"/>
          <w:divBdr>
            <w:top w:val="none" w:sz="0" w:space="0" w:color="auto"/>
            <w:left w:val="none" w:sz="0" w:space="0" w:color="auto"/>
            <w:bottom w:val="none" w:sz="0" w:space="0" w:color="auto"/>
            <w:right w:val="none" w:sz="0" w:space="0" w:color="auto"/>
          </w:divBdr>
        </w:div>
        <w:div w:id="182369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C0F3FF016DF643B7BBB985A5C6AE47" ma:contentTypeVersion="16" ma:contentTypeDescription="Create a new document." ma:contentTypeScope="" ma:versionID="a1240255110ea4a15776bc18f696c0a1">
  <xsd:schema xmlns:xsd="http://www.w3.org/2001/XMLSchema" xmlns:xs="http://www.w3.org/2001/XMLSchema" xmlns:p="http://schemas.microsoft.com/office/2006/metadata/properties" xmlns:ns1="http://schemas.microsoft.com/sharepoint/v3" xmlns:ns3="22b513d2-a7dc-43fd-a842-bddc283ff2c4" xmlns:ns4="6d084cdc-d6d4-4eae-8f1d-4a3df1a2e5af" targetNamespace="http://schemas.microsoft.com/office/2006/metadata/properties" ma:root="true" ma:fieldsID="b1ceac3fa3f54311247d4d4807d36ede" ns1:_="" ns3:_="" ns4:_="">
    <xsd:import namespace="http://schemas.microsoft.com/sharepoint/v3"/>
    <xsd:import namespace="22b513d2-a7dc-43fd-a842-bddc283ff2c4"/>
    <xsd:import namespace="6d084cdc-d6d4-4eae-8f1d-4a3df1a2e5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513d2-a7dc-43fd-a842-bddc283ff2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84cdc-d6d4-4eae-8f1d-4a3df1a2e5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B4D43-6DD3-4E72-A4F1-94A7D9B276A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BECA600-96C5-44A0-9113-91C2AD0D563B}">
  <ds:schemaRefs>
    <ds:schemaRef ds:uri="http://schemas.microsoft.com/sharepoint/v3/contenttype/forms"/>
  </ds:schemaRefs>
</ds:datastoreItem>
</file>

<file path=customXml/itemProps3.xml><?xml version="1.0" encoding="utf-8"?>
<ds:datastoreItem xmlns:ds="http://schemas.openxmlformats.org/officeDocument/2006/customXml" ds:itemID="{BA03FD45-4B9F-4F2D-93F2-31E264D1D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b513d2-a7dc-43fd-a842-bddc283ff2c4"/>
    <ds:schemaRef ds:uri="6d084cdc-d6d4-4eae-8f1d-4a3df1a2e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Summer Learning Curriculum Checklist</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Learning Curriculum Checklist</dc:title>
  <dc:subject/>
  <dc:creator>New Jersey Department of Education</dc:creator>
  <cp:keywords/>
  <dc:description/>
  <cp:lastModifiedBy>Thomas, Elizabeth</cp:lastModifiedBy>
  <cp:revision>16</cp:revision>
  <dcterms:created xsi:type="dcterms:W3CDTF">2022-04-11T15:49:00Z</dcterms:created>
  <dcterms:modified xsi:type="dcterms:W3CDTF">2022-04-11T16:52:00Z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0x01010076C0F3FF016DF643B7BBB985A5C6AE47</vt:lpwstr>
  </property>
</Properties>
</file>